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21" w:rsidRPr="00E37D5A" w:rsidRDefault="00E37D5A" w:rsidP="008F1621">
      <w:pPr>
        <w:jc w:val="center"/>
        <w:rPr>
          <w:rFonts w:ascii="Arial" w:hAnsi="Arial" w:cs="Arial"/>
          <w:b/>
          <w:sz w:val="28"/>
          <w:szCs w:val="28"/>
        </w:rPr>
      </w:pPr>
      <w:bookmarkStart w:id="0" w:name="_GoBack"/>
      <w:bookmarkEnd w:id="0"/>
      <w:r w:rsidRPr="00E37D5A">
        <w:rPr>
          <w:rFonts w:ascii="Arial" w:hAnsi="Arial" w:cs="Arial"/>
          <w:b/>
          <w:sz w:val="28"/>
          <w:szCs w:val="28"/>
        </w:rPr>
        <w:t xml:space="preserve">RESOLUCIÓN No.       </w:t>
      </w:r>
    </w:p>
    <w:p w:rsidR="00E37D5A" w:rsidRDefault="00E37D5A" w:rsidP="008F1621">
      <w:pPr>
        <w:jc w:val="center"/>
        <w:rPr>
          <w:rFonts w:ascii="Arial" w:hAnsi="Arial" w:cs="Arial"/>
          <w:b/>
        </w:rPr>
      </w:pPr>
    </w:p>
    <w:p w:rsidR="00E37D5A" w:rsidRDefault="00E37D5A" w:rsidP="008F1621">
      <w:pPr>
        <w:jc w:val="center"/>
        <w:rPr>
          <w:rFonts w:ascii="Arial" w:hAnsi="Arial" w:cs="Arial"/>
          <w:b/>
        </w:rPr>
      </w:pPr>
    </w:p>
    <w:p w:rsidR="00E37D5A" w:rsidRPr="00E37D5A" w:rsidRDefault="00E37D5A" w:rsidP="008F1621">
      <w:pPr>
        <w:jc w:val="center"/>
        <w:rPr>
          <w:rFonts w:ascii="Arial" w:hAnsi="Arial" w:cs="Arial"/>
          <w:b/>
        </w:rPr>
      </w:pPr>
      <w:r>
        <w:rPr>
          <w:rFonts w:ascii="Arial" w:hAnsi="Arial" w:cs="Arial"/>
          <w:b/>
        </w:rPr>
        <w:t>“</w:t>
      </w:r>
      <w:r w:rsidRPr="00E37D5A">
        <w:rPr>
          <w:rFonts w:ascii="Arial" w:hAnsi="Arial" w:cs="Arial"/>
          <w:b/>
        </w:rPr>
        <w:t xml:space="preserve">POR MEDIO DE LA CUAL SE SOLICITA </w:t>
      </w:r>
      <w:r w:rsidR="00C70B17">
        <w:rPr>
          <w:rFonts w:ascii="Arial" w:hAnsi="Arial" w:cs="Arial"/>
          <w:b/>
        </w:rPr>
        <w:t>ACTIVACION</w:t>
      </w:r>
      <w:r w:rsidRPr="00E37D5A">
        <w:rPr>
          <w:rFonts w:ascii="Arial" w:hAnsi="Arial" w:cs="Arial"/>
          <w:b/>
        </w:rPr>
        <w:t xml:space="preserve"> DE</w:t>
      </w:r>
      <w:r w:rsidR="00C70B17">
        <w:rPr>
          <w:rFonts w:ascii="Arial" w:hAnsi="Arial" w:cs="Arial"/>
          <w:b/>
        </w:rPr>
        <w:t xml:space="preserve"> </w:t>
      </w:r>
      <w:r w:rsidRPr="00E37D5A">
        <w:rPr>
          <w:rFonts w:ascii="Arial" w:hAnsi="Arial" w:cs="Arial"/>
          <w:b/>
        </w:rPr>
        <w:t xml:space="preserve"> BENEFICIARIOS DEL PROGRAMA COLOMBIA MAYOR DEL MUNICIPIO DE BUCARAMANGA </w:t>
      </w:r>
      <w:r>
        <w:rPr>
          <w:rFonts w:ascii="Arial" w:hAnsi="Arial" w:cs="Arial"/>
          <w:b/>
        </w:rPr>
        <w:t>–</w:t>
      </w:r>
      <w:r w:rsidRPr="00E37D5A">
        <w:rPr>
          <w:rFonts w:ascii="Arial" w:hAnsi="Arial" w:cs="Arial"/>
          <w:b/>
        </w:rPr>
        <w:t>SANTANDER</w:t>
      </w:r>
      <w:r>
        <w:rPr>
          <w:rFonts w:ascii="Arial" w:hAnsi="Arial" w:cs="Arial"/>
          <w:b/>
        </w:rPr>
        <w:t>”</w:t>
      </w:r>
    </w:p>
    <w:p w:rsidR="00E37D5A" w:rsidRDefault="00E37D5A" w:rsidP="00C54AF4">
      <w:pPr>
        <w:jc w:val="center"/>
        <w:rPr>
          <w:rFonts w:ascii="Arial" w:hAnsi="Arial" w:cs="Arial"/>
          <w:b/>
        </w:rPr>
      </w:pPr>
    </w:p>
    <w:p w:rsidR="00C54AF4" w:rsidRPr="00E37D5A" w:rsidRDefault="00C54AF4" w:rsidP="00C54AF4">
      <w:pPr>
        <w:jc w:val="center"/>
        <w:rPr>
          <w:rFonts w:ascii="Arial" w:hAnsi="Arial" w:cs="Arial"/>
          <w:b/>
        </w:rPr>
      </w:pPr>
      <w:r w:rsidRPr="00E37D5A">
        <w:rPr>
          <w:rFonts w:ascii="Arial" w:hAnsi="Arial" w:cs="Arial"/>
          <w:b/>
        </w:rPr>
        <w:t>EL SECRETARIO DE DESARROLLO SOCIAL DEL MUNICIPIO DE BUCARAMANGA –SANTANDER, EN USO DE SUS FACULTADES LEGALES Y</w:t>
      </w:r>
    </w:p>
    <w:p w:rsidR="00C54AF4" w:rsidRPr="00E37D5A" w:rsidRDefault="00C54AF4" w:rsidP="00C54AF4">
      <w:pPr>
        <w:jc w:val="center"/>
        <w:rPr>
          <w:rFonts w:ascii="Arial" w:hAnsi="Arial" w:cs="Arial"/>
          <w:b/>
        </w:rPr>
      </w:pPr>
    </w:p>
    <w:p w:rsidR="00C54AF4" w:rsidRPr="00E37D5A" w:rsidRDefault="00C54AF4" w:rsidP="00C54AF4">
      <w:pPr>
        <w:jc w:val="center"/>
        <w:rPr>
          <w:rFonts w:ascii="Arial" w:hAnsi="Arial" w:cs="Arial"/>
          <w:b/>
        </w:rPr>
      </w:pPr>
      <w:r w:rsidRPr="00E37D5A">
        <w:rPr>
          <w:rFonts w:ascii="Arial" w:hAnsi="Arial" w:cs="Arial"/>
          <w:b/>
        </w:rPr>
        <w:t>CONSIDERANDO:</w:t>
      </w:r>
    </w:p>
    <w:p w:rsidR="00C54AF4" w:rsidRPr="00C54AF4" w:rsidRDefault="00C54AF4" w:rsidP="00C54AF4">
      <w:pPr>
        <w:jc w:val="both"/>
        <w:rPr>
          <w:rFonts w:ascii="Arial" w:hAnsi="Arial" w:cs="Arial"/>
          <w:b/>
          <w:sz w:val="22"/>
          <w:szCs w:val="22"/>
        </w:rPr>
      </w:pPr>
    </w:p>
    <w:p w:rsidR="00C70B17" w:rsidRPr="00B13930" w:rsidRDefault="00C70B17" w:rsidP="00C70B17">
      <w:pPr>
        <w:jc w:val="both"/>
        <w:rPr>
          <w:rFonts w:cs="Arial"/>
          <w:sz w:val="22"/>
          <w:lang w:eastAsia="es-CO"/>
        </w:rPr>
      </w:pPr>
      <w:r w:rsidRPr="00B13930">
        <w:rPr>
          <w:rFonts w:cs="Arial"/>
          <w:sz w:val="22"/>
          <w:lang w:eastAsia="es-CO"/>
        </w:rPr>
        <w:t>Que el artículo 46 de la Constitución Política señala: “</w:t>
      </w:r>
      <w:r w:rsidRPr="00B13930">
        <w:rPr>
          <w:rFonts w:cs="Arial"/>
          <w:i/>
          <w:sz w:val="22"/>
          <w:lang w:eastAsia="es-CO"/>
        </w:rPr>
        <w:t>El Estado la sociedad y la familia concurrirán para la protección y la asistencia de las personas de la tercera edad y promoverán su integración a la vida activa y comunitaria.</w:t>
      </w:r>
      <w:r w:rsidRPr="00B13930">
        <w:rPr>
          <w:rFonts w:cs="Arial"/>
          <w:sz w:val="22"/>
          <w:lang w:eastAsia="es-CO"/>
        </w:rPr>
        <w:t>”</w:t>
      </w:r>
    </w:p>
    <w:p w:rsidR="00C70B17" w:rsidRPr="00B13930" w:rsidRDefault="00C70B17" w:rsidP="00C70B17">
      <w:pPr>
        <w:jc w:val="both"/>
        <w:rPr>
          <w:rFonts w:cs="Arial"/>
          <w:b/>
          <w:sz w:val="22"/>
        </w:rPr>
      </w:pPr>
    </w:p>
    <w:p w:rsidR="00C70B17" w:rsidRPr="00B13930" w:rsidRDefault="00C70B17" w:rsidP="00C70B17">
      <w:pPr>
        <w:jc w:val="both"/>
        <w:rPr>
          <w:rFonts w:cs="Arial"/>
          <w:sz w:val="22"/>
        </w:rPr>
      </w:pPr>
      <w:r w:rsidRPr="00B13930">
        <w:rPr>
          <w:rFonts w:cs="Arial"/>
          <w:sz w:val="22"/>
        </w:rPr>
        <w:t>Que la Ley 100 de 1993 estableció un programa de auxilios para ancianos indigentes, cuyo objeto es apoyar económicamente a aquellas personas que cumplan con los requisitos previstos en la normativa vigente.</w:t>
      </w:r>
    </w:p>
    <w:p w:rsidR="00C70B17" w:rsidRPr="00B13930" w:rsidRDefault="00C70B17" w:rsidP="00C70B17">
      <w:pPr>
        <w:jc w:val="both"/>
        <w:rPr>
          <w:rFonts w:cs="Arial"/>
          <w:sz w:val="22"/>
        </w:rPr>
      </w:pPr>
    </w:p>
    <w:p w:rsidR="00C70B17" w:rsidRPr="00B13930" w:rsidRDefault="00C70B17" w:rsidP="00C70B17">
      <w:pPr>
        <w:jc w:val="both"/>
        <w:rPr>
          <w:rFonts w:cs="Arial"/>
          <w:sz w:val="22"/>
        </w:rPr>
      </w:pPr>
      <w:r w:rsidRPr="00B13930">
        <w:rPr>
          <w:rFonts w:cs="Arial"/>
          <w:sz w:val="22"/>
        </w:rPr>
        <w:t>Que la Ley 100 de 1993, en su artículo 25 creó el Fondo de Solidaridad Pensional, como una cuenta especial de la nación sin personería jurídica, adscrita al Ministerio de Trabajo, facultándolo para que sus recursos fueran administrados a través de encargo fiduciario por sociedades fiduciarias de naturaleza pública</w:t>
      </w:r>
      <w:r>
        <w:rPr>
          <w:rFonts w:cs="Arial"/>
          <w:sz w:val="22"/>
        </w:rPr>
        <w:t>.</w:t>
      </w:r>
    </w:p>
    <w:p w:rsidR="00C70B17" w:rsidRPr="00B13930" w:rsidRDefault="00C70B17" w:rsidP="00C70B17">
      <w:pPr>
        <w:jc w:val="both"/>
        <w:rPr>
          <w:rFonts w:cs="Arial"/>
          <w:sz w:val="22"/>
        </w:rPr>
      </w:pPr>
    </w:p>
    <w:p w:rsidR="00C70B17" w:rsidRPr="00B13930" w:rsidRDefault="00C70B17" w:rsidP="00C70B17">
      <w:pPr>
        <w:jc w:val="both"/>
        <w:rPr>
          <w:rFonts w:cs="Arial"/>
          <w:sz w:val="22"/>
        </w:rPr>
      </w:pPr>
      <w:r w:rsidRPr="00B13930">
        <w:rPr>
          <w:rFonts w:cs="Arial"/>
          <w:sz w:val="22"/>
        </w:rPr>
        <w:t>Que el artículo 2° de la Ley 797 de 2003, modificó el literal i) del artículo 13 de la Ley 100 de 1993, creando la Subcuenta de Subsistencia del Fondo de Solidaridad Pensional, destinada a la protección de las personas en estado de indigencia o de pobreza extrema, mediante el otorgamiento de un subsidio económico que se entrega a través del Programa de Protección Social al Adulto Mayor, hoy Colombia Mayor.</w:t>
      </w:r>
    </w:p>
    <w:p w:rsidR="00C70B17" w:rsidRDefault="00C70B17" w:rsidP="00C70B17">
      <w:pPr>
        <w:jc w:val="both"/>
        <w:rPr>
          <w:rFonts w:cs="Arial"/>
          <w:sz w:val="22"/>
          <w:lang w:eastAsia="es-CO"/>
        </w:rPr>
      </w:pPr>
    </w:p>
    <w:p w:rsidR="00C70B17" w:rsidRPr="00B13930" w:rsidRDefault="00C70B17" w:rsidP="00C70B17">
      <w:pPr>
        <w:jc w:val="both"/>
        <w:rPr>
          <w:rFonts w:cs="Arial"/>
          <w:bCs/>
          <w:sz w:val="22"/>
          <w:shd w:val="clear" w:color="auto" w:fill="FFFFFF"/>
        </w:rPr>
      </w:pPr>
      <w:r w:rsidRPr="00B13930">
        <w:rPr>
          <w:rFonts w:cs="Arial"/>
          <w:sz w:val="22"/>
          <w:lang w:eastAsia="es-CO"/>
        </w:rPr>
        <w:t>Que la Ley 1251 de 2008 estableció la protección, promoción, restablecimiento y defensa de los derechos de los adultos mayores, reconociendo la necesidad de coadyuvar entre las diversas esferas de la sociedad en pro de la atención y prestación de servicios para el desarrollo integral de las personas de la tercera edad, en aras de lograr su inclusión como participes del desarrollo aportando sus experiencias de vida y promoviendo el respeto, el restablecimiento y el ejercicio de sus derechos.</w:t>
      </w:r>
      <w:r w:rsidRPr="00B13930">
        <w:rPr>
          <w:rFonts w:cs="Arial"/>
          <w:bCs/>
          <w:sz w:val="22"/>
          <w:shd w:val="clear" w:color="auto" w:fill="FFFFFF"/>
        </w:rPr>
        <w:t xml:space="preserve"> </w:t>
      </w:r>
    </w:p>
    <w:p w:rsidR="00C70B17" w:rsidRPr="00B13930" w:rsidRDefault="00C70B17" w:rsidP="00C70B17">
      <w:pPr>
        <w:jc w:val="both"/>
        <w:rPr>
          <w:rFonts w:cs="Arial"/>
          <w:bCs/>
          <w:sz w:val="22"/>
          <w:shd w:val="clear" w:color="auto" w:fill="FFFFFF"/>
        </w:rPr>
      </w:pPr>
    </w:p>
    <w:p w:rsidR="00C70B17" w:rsidRPr="00B13930" w:rsidRDefault="00C70B17" w:rsidP="00C70B17">
      <w:pPr>
        <w:jc w:val="both"/>
        <w:rPr>
          <w:rFonts w:cs="Arial"/>
          <w:sz w:val="22"/>
          <w:lang w:eastAsia="es-CO"/>
        </w:rPr>
      </w:pPr>
      <w:r w:rsidRPr="00B13930">
        <w:rPr>
          <w:rFonts w:cs="Arial"/>
          <w:sz w:val="22"/>
          <w:lang w:eastAsia="es-CO"/>
        </w:rPr>
        <w:t>Que, en mismo sentido, el artículo 6 de la Ley 1251 de 2008 asignó como deberes al Estado en relación con la protección de los adultos mayores entre otros “</w:t>
      </w:r>
      <w:r w:rsidRPr="00B13930">
        <w:rPr>
          <w:rFonts w:cs="Arial"/>
          <w:i/>
          <w:sz w:val="22"/>
          <w:lang w:eastAsia="es-CO"/>
        </w:rPr>
        <w:t>n) En el otorgamiento de subsidios por parte de la Nación y sus entidades territoriales, se dará prioridad a los adultos mayores a fin de que accedan a los programas sociales de salud, vivienda, alimentación, recreación, deporte, agua potable y saneamiento básico”</w:t>
      </w:r>
      <w:r>
        <w:rPr>
          <w:rFonts w:cs="Arial"/>
          <w:i/>
          <w:sz w:val="22"/>
          <w:lang w:eastAsia="es-CO"/>
        </w:rPr>
        <w:t>.</w:t>
      </w:r>
    </w:p>
    <w:p w:rsidR="00C70B17" w:rsidRPr="004438B6" w:rsidRDefault="00C70B17" w:rsidP="00C70B17">
      <w:pPr>
        <w:tabs>
          <w:tab w:val="left" w:pos="3330"/>
        </w:tabs>
        <w:jc w:val="both"/>
        <w:rPr>
          <w:rFonts w:cs="Arial"/>
          <w:b/>
          <w:sz w:val="22"/>
        </w:rPr>
      </w:pPr>
      <w:r>
        <w:rPr>
          <w:rFonts w:cs="Arial"/>
          <w:b/>
          <w:sz w:val="22"/>
        </w:rPr>
        <w:tab/>
      </w:r>
    </w:p>
    <w:p w:rsidR="00C70B17" w:rsidRPr="00B13930" w:rsidRDefault="00C70B17" w:rsidP="00C70B17">
      <w:pPr>
        <w:jc w:val="both"/>
        <w:rPr>
          <w:rFonts w:cs="Arial"/>
          <w:sz w:val="22"/>
        </w:rPr>
      </w:pPr>
      <w:r w:rsidRPr="00B13930">
        <w:rPr>
          <w:rFonts w:cs="Arial"/>
          <w:sz w:val="22"/>
        </w:rPr>
        <w:t>Que la Resolución 3908 de 2005, expedida por el Ministerio de la Protección Social hoy Ministerio del Trabajo, adoptó el Manual Operativo del Programa de Protección Social al Adulto Mayor - Colombia Mayor, el cual posteriormente fue actualizado mediante la Resolución 1370 de 2013, que otorgó competencia al Ministerio de Trabajo en el numeral 3.2.2 para diseñar las políticas públicas en desarrollo del programa, así como la definición de los lineamientos para la operación de los subsidios que se otorgan en el Programa Colombia Mayor</w:t>
      </w:r>
      <w:r>
        <w:rPr>
          <w:rFonts w:cs="Arial"/>
          <w:sz w:val="22"/>
        </w:rPr>
        <w:t>.</w:t>
      </w:r>
    </w:p>
    <w:p w:rsidR="00C70B17" w:rsidRDefault="00C70B17" w:rsidP="00C70B17">
      <w:pPr>
        <w:jc w:val="both"/>
        <w:rPr>
          <w:rFonts w:cs="Arial"/>
          <w:sz w:val="22"/>
        </w:rPr>
      </w:pPr>
    </w:p>
    <w:p w:rsidR="00C70B17" w:rsidRPr="00B13930" w:rsidRDefault="00C70B17" w:rsidP="00C70B17">
      <w:pPr>
        <w:jc w:val="both"/>
        <w:rPr>
          <w:rFonts w:cs="Arial"/>
          <w:sz w:val="22"/>
        </w:rPr>
      </w:pPr>
      <w:r w:rsidRPr="00B13930">
        <w:rPr>
          <w:rFonts w:cs="Arial"/>
          <w:sz w:val="22"/>
        </w:rPr>
        <w:t xml:space="preserve">Que el Decreto </w:t>
      </w:r>
      <w:r>
        <w:rPr>
          <w:rFonts w:cs="Arial"/>
          <w:sz w:val="22"/>
        </w:rPr>
        <w:t xml:space="preserve">Nacional </w:t>
      </w:r>
      <w:r w:rsidRPr="00B13930">
        <w:rPr>
          <w:rFonts w:cs="Arial"/>
          <w:sz w:val="22"/>
        </w:rPr>
        <w:t xml:space="preserve">3771 de 2007, mediante el cual se reglamentó la administración y el funcionamiento del Fondo de Solidaridad Pensional, en el artículo 29 determinó que el Ministerio de la Protección Social, hoy Ministerio del Trabajo, elaboraría el Manual Operativo para fijar los </w:t>
      </w:r>
      <w:r w:rsidRPr="00B13930">
        <w:rPr>
          <w:rFonts w:cs="Arial"/>
          <w:sz w:val="22"/>
        </w:rPr>
        <w:lastRenderedPageBreak/>
        <w:t>lineamientos de selección de beneficiarios, los componentes de los subsidios y demás aspectos procedimentales de los programas financiados con los recursos de la Subcuenta de Subsistencia, dentro de los parámetros establecidos en la normativa aplicable.</w:t>
      </w:r>
    </w:p>
    <w:p w:rsidR="00C70B17" w:rsidRPr="00B13930" w:rsidRDefault="00C70B17" w:rsidP="00C70B17">
      <w:pPr>
        <w:jc w:val="both"/>
        <w:rPr>
          <w:rFonts w:cs="Arial"/>
          <w:sz w:val="22"/>
        </w:rPr>
      </w:pPr>
    </w:p>
    <w:p w:rsidR="00C70B17" w:rsidRPr="00B13930" w:rsidRDefault="00C70B17" w:rsidP="00C70B17">
      <w:pPr>
        <w:autoSpaceDE w:val="0"/>
        <w:autoSpaceDN w:val="0"/>
        <w:adjustRightInd w:val="0"/>
        <w:jc w:val="both"/>
        <w:rPr>
          <w:rFonts w:cs="Arial"/>
          <w:b/>
          <w:sz w:val="22"/>
        </w:rPr>
      </w:pPr>
      <w:r w:rsidRPr="00B13930">
        <w:rPr>
          <w:rFonts w:cs="Arial"/>
          <w:sz w:val="22"/>
        </w:rPr>
        <w:t xml:space="preserve">Que el Decreto </w:t>
      </w:r>
      <w:r>
        <w:rPr>
          <w:rFonts w:cs="Arial"/>
          <w:sz w:val="22"/>
        </w:rPr>
        <w:t>Nacional</w:t>
      </w:r>
      <w:r w:rsidRPr="00B13930">
        <w:rPr>
          <w:rFonts w:cs="Arial"/>
          <w:sz w:val="22"/>
        </w:rPr>
        <w:t xml:space="preserve"> 3771 de 2007, reglamentó la administración y funcionamiento del Fondo de Solidaridad Pensional, en particular su artículo 37 estableció las causales de pérdida del derecho al subsidio. Estas causales fueron modificadas a su vez, por el artículo 4° del Decreto número 455 de 2014.</w:t>
      </w:r>
    </w:p>
    <w:p w:rsidR="00C70B17" w:rsidRPr="00B13930" w:rsidRDefault="00C70B17" w:rsidP="00C70B17">
      <w:pPr>
        <w:autoSpaceDE w:val="0"/>
        <w:autoSpaceDN w:val="0"/>
        <w:adjustRightInd w:val="0"/>
        <w:jc w:val="both"/>
        <w:rPr>
          <w:rFonts w:cs="Arial"/>
          <w:sz w:val="22"/>
        </w:rPr>
      </w:pPr>
    </w:p>
    <w:p w:rsidR="00C70B17" w:rsidRPr="00B13930" w:rsidRDefault="00C70B17" w:rsidP="00C70B17">
      <w:pPr>
        <w:tabs>
          <w:tab w:val="left" w:pos="301"/>
        </w:tabs>
        <w:jc w:val="both"/>
        <w:rPr>
          <w:rFonts w:cs="Arial"/>
          <w:sz w:val="22"/>
          <w:lang w:eastAsia="es-CO"/>
        </w:rPr>
      </w:pPr>
      <w:r w:rsidRPr="00B13930">
        <w:rPr>
          <w:rFonts w:cs="Arial"/>
          <w:sz w:val="22"/>
          <w:lang w:eastAsia="es-CO"/>
        </w:rPr>
        <w:t>Que el Decreto 1833 de 2016, compiló las disposiciones contenidas en el Decreto número 3771 de 2007, y demás normas del Sistema General de Pensiones</w:t>
      </w:r>
      <w:r>
        <w:rPr>
          <w:rFonts w:cs="Arial"/>
          <w:sz w:val="22"/>
          <w:lang w:eastAsia="es-CO"/>
        </w:rPr>
        <w:t>.</w:t>
      </w:r>
    </w:p>
    <w:p w:rsidR="00C70B17" w:rsidRPr="00B13930" w:rsidRDefault="00C70B17" w:rsidP="00C70B17">
      <w:pPr>
        <w:tabs>
          <w:tab w:val="left" w:pos="301"/>
        </w:tabs>
        <w:jc w:val="both"/>
        <w:rPr>
          <w:rFonts w:cs="Arial"/>
          <w:sz w:val="22"/>
          <w:lang w:eastAsia="es-CO"/>
        </w:rPr>
      </w:pPr>
    </w:p>
    <w:p w:rsidR="00C70B17" w:rsidRPr="00B13930" w:rsidRDefault="00C70B17" w:rsidP="00C70B17">
      <w:pPr>
        <w:tabs>
          <w:tab w:val="left" w:pos="301"/>
        </w:tabs>
        <w:jc w:val="both"/>
        <w:rPr>
          <w:rFonts w:cs="Arial"/>
          <w:sz w:val="22"/>
          <w:lang w:eastAsia="es-CO"/>
        </w:rPr>
      </w:pPr>
      <w:r w:rsidRPr="00B13930">
        <w:rPr>
          <w:rFonts w:cs="Arial"/>
          <w:sz w:val="22"/>
        </w:rPr>
        <w:t xml:space="preserve">Que mediante Decreto </w:t>
      </w:r>
      <w:r w:rsidRPr="00B13930">
        <w:rPr>
          <w:rFonts w:cs="Arial"/>
          <w:b/>
          <w:sz w:val="22"/>
        </w:rPr>
        <w:t>1340 del 25 de Julio de 2019</w:t>
      </w:r>
      <w:r w:rsidRPr="00B13930">
        <w:rPr>
          <w:rFonts w:cs="Arial"/>
          <w:sz w:val="22"/>
        </w:rPr>
        <w:t xml:space="preserve"> se modificó el artículo 2.2.14.1.39 del Título 14 Capítulo 1 del Decreto número 1833 de 2016 en el cual se establecen las causales de pérdida del subsidio</w:t>
      </w:r>
      <w:r>
        <w:rPr>
          <w:rFonts w:cs="Arial"/>
          <w:sz w:val="22"/>
        </w:rPr>
        <w:t xml:space="preserve">, quedando el numeral 9, </w:t>
      </w:r>
      <w:r w:rsidRPr="00B13930">
        <w:rPr>
          <w:rFonts w:cs="Arial"/>
          <w:sz w:val="22"/>
          <w:lang w:eastAsia="es-CO"/>
        </w:rPr>
        <w:t>como causal de pérdida del subsidio</w:t>
      </w:r>
      <w:r>
        <w:rPr>
          <w:rFonts w:cs="Arial"/>
          <w:sz w:val="22"/>
          <w:lang w:eastAsia="es-CO"/>
        </w:rPr>
        <w:t>,</w:t>
      </w:r>
      <w:r w:rsidRPr="00B13930">
        <w:rPr>
          <w:rFonts w:cs="Arial"/>
          <w:sz w:val="22"/>
          <w:lang w:eastAsia="es-CO"/>
        </w:rPr>
        <w:t xml:space="preserve"> el no cobro consecutivo de subsidios programados en </w:t>
      </w:r>
      <w:r>
        <w:rPr>
          <w:rFonts w:cs="Arial"/>
          <w:sz w:val="22"/>
          <w:lang w:eastAsia="es-CO"/>
        </w:rPr>
        <w:t xml:space="preserve">cuatro </w:t>
      </w:r>
      <w:r w:rsidRPr="00B13930">
        <w:rPr>
          <w:rFonts w:cs="Arial"/>
          <w:sz w:val="22"/>
          <w:lang w:eastAsia="es-CO"/>
        </w:rPr>
        <w:t>giros</w:t>
      </w:r>
      <w:r>
        <w:rPr>
          <w:rFonts w:cs="Arial"/>
          <w:sz w:val="22"/>
          <w:lang w:eastAsia="es-CO"/>
        </w:rPr>
        <w:t>, para los municipios donde el pago sea mensual</w:t>
      </w:r>
      <w:r w:rsidRPr="00B13930">
        <w:rPr>
          <w:rFonts w:cs="Arial"/>
          <w:sz w:val="22"/>
          <w:lang w:eastAsia="es-CO"/>
        </w:rPr>
        <w:t xml:space="preserve">. </w:t>
      </w:r>
    </w:p>
    <w:p w:rsidR="00C70B17" w:rsidRPr="00B13930" w:rsidRDefault="00C70B17" w:rsidP="00C70B17">
      <w:pPr>
        <w:autoSpaceDE w:val="0"/>
        <w:autoSpaceDN w:val="0"/>
        <w:adjustRightInd w:val="0"/>
        <w:jc w:val="both"/>
        <w:rPr>
          <w:rFonts w:cs="Arial"/>
          <w:bCs/>
          <w:sz w:val="22"/>
        </w:rPr>
      </w:pPr>
    </w:p>
    <w:p w:rsidR="00C70B17" w:rsidRDefault="00C70B17" w:rsidP="00C70B17">
      <w:pPr>
        <w:autoSpaceDE w:val="0"/>
        <w:autoSpaceDN w:val="0"/>
        <w:adjustRightInd w:val="0"/>
        <w:jc w:val="both"/>
        <w:rPr>
          <w:rFonts w:cs="Arial"/>
          <w:color w:val="000000"/>
          <w:sz w:val="22"/>
          <w:shd w:val="clear" w:color="auto" w:fill="FFFFFF"/>
        </w:rPr>
      </w:pPr>
      <w:r>
        <w:rPr>
          <w:rFonts w:cs="Arial"/>
          <w:bCs/>
          <w:sz w:val="22"/>
        </w:rPr>
        <w:t xml:space="preserve">Que mediante </w:t>
      </w:r>
      <w:r w:rsidRPr="006D3308">
        <w:rPr>
          <w:rFonts w:cs="Arial"/>
          <w:bCs/>
          <w:sz w:val="22"/>
        </w:rPr>
        <w:t>Decreto Legislativo 812 del 4 de junio de 2020</w:t>
      </w:r>
      <w:r>
        <w:rPr>
          <w:rFonts w:cs="Arial"/>
          <w:bCs/>
          <w:sz w:val="22"/>
        </w:rPr>
        <w:t xml:space="preserve">, se designó al </w:t>
      </w:r>
      <w:r w:rsidRPr="006350AD">
        <w:rPr>
          <w:rFonts w:cs="Arial"/>
          <w:b/>
          <w:sz w:val="22"/>
          <w:u w:val="single"/>
        </w:rPr>
        <w:t>Departamento</w:t>
      </w:r>
      <w:r w:rsidRPr="006350AD">
        <w:rPr>
          <w:rFonts w:cs="Arial"/>
          <w:b/>
          <w:sz w:val="22"/>
        </w:rPr>
        <w:t xml:space="preserve"> </w:t>
      </w:r>
      <w:r w:rsidRPr="006350AD">
        <w:rPr>
          <w:rFonts w:cs="Arial"/>
          <w:b/>
          <w:sz w:val="22"/>
          <w:u w:val="single"/>
        </w:rPr>
        <w:t>Administrativo para la Prosperidad Social</w:t>
      </w:r>
      <w:r>
        <w:rPr>
          <w:rFonts w:cs="Arial"/>
          <w:color w:val="000000"/>
          <w:sz w:val="22"/>
          <w:shd w:val="clear" w:color="auto" w:fill="FFFFFF"/>
        </w:rPr>
        <w:t xml:space="preserve"> como la entidad encargada de administrar y ejecutar el programa Colombia Mayor.</w:t>
      </w:r>
    </w:p>
    <w:p w:rsidR="00C70B17" w:rsidRDefault="00C70B17" w:rsidP="00C70B17">
      <w:pPr>
        <w:autoSpaceDE w:val="0"/>
        <w:autoSpaceDN w:val="0"/>
        <w:adjustRightInd w:val="0"/>
        <w:jc w:val="both"/>
        <w:rPr>
          <w:rFonts w:cs="Arial"/>
          <w:bCs/>
          <w:sz w:val="22"/>
        </w:rPr>
      </w:pPr>
    </w:p>
    <w:p w:rsidR="00C70B17" w:rsidRPr="00B13930" w:rsidRDefault="00C70B17" w:rsidP="00C70B17">
      <w:pPr>
        <w:tabs>
          <w:tab w:val="left" w:pos="301"/>
        </w:tabs>
        <w:jc w:val="both"/>
        <w:rPr>
          <w:rFonts w:cs="Arial"/>
          <w:sz w:val="22"/>
          <w:lang w:eastAsia="es-CO"/>
        </w:rPr>
      </w:pPr>
      <w:r w:rsidRPr="00B13930">
        <w:rPr>
          <w:rFonts w:cs="Arial"/>
          <w:sz w:val="22"/>
          <w:lang w:eastAsia="es-CO"/>
        </w:rPr>
        <w:t>Que mediante Resolución 3908 de 2005 se adoptó el Manual Operativo del Programa de Protección Social al Adulto Mayor, hoy Colombia Mayor, el cual fue actualizado mediante la Resolución 1370 de 2013 y posteriormente con los Anexos Técnicos número 1, 2</w:t>
      </w:r>
      <w:r>
        <w:rPr>
          <w:rFonts w:cs="Arial"/>
          <w:sz w:val="22"/>
          <w:lang w:eastAsia="es-CO"/>
        </w:rPr>
        <w:t>,</w:t>
      </w:r>
      <w:r w:rsidRPr="00B13930">
        <w:rPr>
          <w:rFonts w:cs="Arial"/>
          <w:sz w:val="22"/>
          <w:lang w:eastAsia="es-CO"/>
        </w:rPr>
        <w:t xml:space="preserve"> 3</w:t>
      </w:r>
      <w:r>
        <w:rPr>
          <w:rFonts w:cs="Arial"/>
          <w:sz w:val="22"/>
          <w:lang w:eastAsia="es-CO"/>
        </w:rPr>
        <w:t xml:space="preserve"> y 4</w:t>
      </w:r>
      <w:r w:rsidRPr="00B13930">
        <w:rPr>
          <w:rFonts w:cs="Arial"/>
          <w:sz w:val="22"/>
          <w:lang w:eastAsia="es-CO"/>
        </w:rPr>
        <w:t xml:space="preserve">. </w:t>
      </w:r>
    </w:p>
    <w:p w:rsidR="00C70B17" w:rsidRPr="00B13930" w:rsidRDefault="00C70B17" w:rsidP="00C70B17">
      <w:pPr>
        <w:tabs>
          <w:tab w:val="left" w:pos="301"/>
        </w:tabs>
        <w:jc w:val="both"/>
        <w:rPr>
          <w:rFonts w:cs="Arial"/>
          <w:sz w:val="22"/>
          <w:lang w:eastAsia="es-CO"/>
        </w:rPr>
      </w:pPr>
    </w:p>
    <w:p w:rsidR="00C70B17" w:rsidRPr="00B13930" w:rsidRDefault="00C70B17" w:rsidP="00C70B17">
      <w:pPr>
        <w:tabs>
          <w:tab w:val="left" w:pos="301"/>
        </w:tabs>
        <w:jc w:val="both"/>
        <w:rPr>
          <w:rFonts w:cs="Arial"/>
          <w:sz w:val="22"/>
          <w:lang w:eastAsia="es-CO"/>
        </w:rPr>
      </w:pPr>
      <w:r w:rsidRPr="00B13930">
        <w:rPr>
          <w:rFonts w:cs="Arial"/>
          <w:sz w:val="22"/>
          <w:lang w:eastAsia="es-CO"/>
        </w:rPr>
        <w:t xml:space="preserve">Que el Anexo Técnico número 3 del Manual Operativo modificó la periodicidad del pago del subsidio económico del Programa Colombia Mayor, quedando de manera mensual y excepcionalmente para algunos municipios de manera bimestral. </w:t>
      </w:r>
    </w:p>
    <w:p w:rsidR="00C70B17" w:rsidRDefault="00C70B17" w:rsidP="00C70B17">
      <w:pPr>
        <w:autoSpaceDE w:val="0"/>
        <w:autoSpaceDN w:val="0"/>
        <w:adjustRightInd w:val="0"/>
        <w:jc w:val="both"/>
        <w:rPr>
          <w:rFonts w:cs="Arial"/>
          <w:bCs/>
          <w:sz w:val="22"/>
        </w:rPr>
      </w:pPr>
    </w:p>
    <w:p w:rsidR="00C70B17" w:rsidRPr="00B13930" w:rsidRDefault="00C70B17" w:rsidP="00C70B17">
      <w:pPr>
        <w:autoSpaceDE w:val="0"/>
        <w:autoSpaceDN w:val="0"/>
        <w:adjustRightInd w:val="0"/>
        <w:jc w:val="both"/>
        <w:rPr>
          <w:rFonts w:cs="Arial"/>
          <w:sz w:val="22"/>
        </w:rPr>
      </w:pPr>
      <w:r w:rsidRPr="00B13930">
        <w:rPr>
          <w:rFonts w:cs="Arial"/>
          <w:bCs/>
          <w:sz w:val="22"/>
        </w:rPr>
        <w:t xml:space="preserve">Que la </w:t>
      </w:r>
      <w:r w:rsidRPr="00B13930">
        <w:rPr>
          <w:rFonts w:cs="Arial"/>
          <w:sz w:val="22"/>
        </w:rPr>
        <w:t>Resolución No. 1370 de 2013 respecto de las responsabilidades, competencias y funciones del Ente Territorial señala: “</w:t>
      </w:r>
      <w:r w:rsidRPr="00B13930">
        <w:rPr>
          <w:rFonts w:cs="Arial"/>
          <w:i/>
          <w:sz w:val="22"/>
        </w:rPr>
        <w:t>Por ser la instancia encargada de la política social local y de la ejecución del programa, le corresponde (…) 22. Expedir los actos administrativos requeridos para el retiro de beneficiarios (…) 24. Realizar las acciones de verificación de los beneficiados bloqueados generando las novedades de activación o retiro con los respectivos soportes documentales y remitidas al administrador fiduciario</w:t>
      </w:r>
      <w:r w:rsidRPr="00B13930">
        <w:rPr>
          <w:rFonts w:cs="Arial"/>
          <w:sz w:val="22"/>
        </w:rPr>
        <w:t>”.</w:t>
      </w:r>
    </w:p>
    <w:p w:rsidR="00C70B17" w:rsidRPr="00B13930" w:rsidRDefault="00C70B17" w:rsidP="00C70B17">
      <w:pPr>
        <w:autoSpaceDE w:val="0"/>
        <w:autoSpaceDN w:val="0"/>
        <w:adjustRightInd w:val="0"/>
        <w:jc w:val="both"/>
        <w:rPr>
          <w:rFonts w:cs="Arial"/>
          <w:sz w:val="22"/>
        </w:rPr>
      </w:pPr>
    </w:p>
    <w:p w:rsidR="00C70B17" w:rsidRPr="00B13930" w:rsidRDefault="00C70B17" w:rsidP="00C70B17">
      <w:pPr>
        <w:tabs>
          <w:tab w:val="left" w:pos="301"/>
        </w:tabs>
        <w:jc w:val="both"/>
        <w:rPr>
          <w:rFonts w:cs="Arial"/>
          <w:sz w:val="22"/>
        </w:rPr>
      </w:pPr>
      <w:r w:rsidRPr="00B13930">
        <w:rPr>
          <w:rFonts w:cs="Arial"/>
          <w:sz w:val="22"/>
          <w:lang w:eastAsia="es-CO"/>
        </w:rPr>
        <w:t>Que el</w:t>
      </w:r>
      <w:r w:rsidRPr="00B13930">
        <w:rPr>
          <w:rFonts w:cs="Arial"/>
          <w:sz w:val="22"/>
        </w:rPr>
        <w:t xml:space="preserve"> Acuerdo Municipal No. 050 de 1994</w:t>
      </w:r>
      <w:r w:rsidRPr="00B13930">
        <w:rPr>
          <w:rStyle w:val="Refdenotaalpie"/>
          <w:rFonts w:cs="Arial"/>
          <w:sz w:val="22"/>
        </w:rPr>
        <w:footnoteReference w:id="1"/>
      </w:r>
      <w:r w:rsidRPr="00B13930">
        <w:rPr>
          <w:rFonts w:cs="Arial"/>
          <w:sz w:val="22"/>
        </w:rPr>
        <w:t xml:space="preserve"> institucionalizó un programa de atención integral a los adultos mayores del Municipio de Bucaramanga.</w:t>
      </w:r>
    </w:p>
    <w:p w:rsidR="00C70B17" w:rsidRPr="00B13930" w:rsidRDefault="00C70B17" w:rsidP="00C70B17">
      <w:pPr>
        <w:tabs>
          <w:tab w:val="left" w:pos="301"/>
        </w:tabs>
        <w:jc w:val="both"/>
        <w:rPr>
          <w:rFonts w:cs="Arial"/>
          <w:sz w:val="22"/>
        </w:rPr>
      </w:pPr>
    </w:p>
    <w:p w:rsidR="00C70B17" w:rsidRPr="00B13930" w:rsidRDefault="00C70B17" w:rsidP="00C70B17">
      <w:pPr>
        <w:tabs>
          <w:tab w:val="left" w:pos="301"/>
        </w:tabs>
        <w:jc w:val="both"/>
        <w:rPr>
          <w:rFonts w:cs="Arial"/>
          <w:sz w:val="22"/>
        </w:rPr>
      </w:pPr>
      <w:r w:rsidRPr="00B13930">
        <w:rPr>
          <w:rFonts w:cs="Arial"/>
          <w:sz w:val="22"/>
        </w:rPr>
        <w:t>Que mediante Decreto Municipal No. 0028 de 2013 el alcalde del Municipio de Bucaramanga delegó en el Secretario de Desarrollo social la expedición y suscripción de actos administrativos relacionados con la inclusión y retiro de beneficiarios del Programa Colombia Mayor.</w:t>
      </w:r>
    </w:p>
    <w:p w:rsidR="00C70B17" w:rsidRDefault="00C70B17" w:rsidP="00C70B17">
      <w:pPr>
        <w:jc w:val="both"/>
        <w:rPr>
          <w:rFonts w:cs="Arial"/>
          <w:sz w:val="22"/>
          <w:lang w:eastAsia="es-CO"/>
        </w:rPr>
      </w:pPr>
    </w:p>
    <w:p w:rsidR="00C70B17" w:rsidRDefault="00C70B17" w:rsidP="00C70B17">
      <w:pPr>
        <w:jc w:val="both"/>
        <w:rPr>
          <w:rFonts w:cs="Arial"/>
          <w:sz w:val="22"/>
        </w:rPr>
      </w:pPr>
      <w:r>
        <w:rPr>
          <w:rFonts w:cs="Arial"/>
          <w:sz w:val="22"/>
        </w:rPr>
        <w:t xml:space="preserve">Que el Acuerdo Municipal No. </w:t>
      </w:r>
      <w:r w:rsidRPr="00320082">
        <w:rPr>
          <w:rFonts w:cs="Arial"/>
          <w:sz w:val="22"/>
        </w:rPr>
        <w:t>0</w:t>
      </w:r>
      <w:r>
        <w:rPr>
          <w:rFonts w:cs="Arial"/>
          <w:sz w:val="22"/>
        </w:rPr>
        <w:t>13</w:t>
      </w:r>
      <w:r w:rsidRPr="00320082">
        <w:rPr>
          <w:rFonts w:cs="Arial"/>
          <w:sz w:val="22"/>
        </w:rPr>
        <w:t xml:space="preserve"> de 20</w:t>
      </w:r>
      <w:r>
        <w:rPr>
          <w:rFonts w:cs="Arial"/>
          <w:sz w:val="22"/>
        </w:rPr>
        <w:t xml:space="preserve">20 </w:t>
      </w:r>
      <w:r w:rsidRPr="00320082">
        <w:rPr>
          <w:rFonts w:cs="Arial"/>
          <w:sz w:val="22"/>
        </w:rPr>
        <w:t>adoptó el plan de desarrollo 20</w:t>
      </w:r>
      <w:r>
        <w:rPr>
          <w:rFonts w:cs="Arial"/>
          <w:sz w:val="22"/>
        </w:rPr>
        <w:t>20</w:t>
      </w:r>
      <w:r w:rsidRPr="00320082">
        <w:rPr>
          <w:rFonts w:cs="Arial"/>
          <w:sz w:val="22"/>
        </w:rPr>
        <w:t>-20</w:t>
      </w:r>
      <w:r>
        <w:rPr>
          <w:rFonts w:cs="Arial"/>
          <w:sz w:val="22"/>
        </w:rPr>
        <w:t>23</w:t>
      </w:r>
      <w:r w:rsidRPr="00320082">
        <w:rPr>
          <w:rFonts w:cs="Arial"/>
          <w:sz w:val="22"/>
        </w:rPr>
        <w:t xml:space="preserve"> denominado “</w:t>
      </w:r>
      <w:r>
        <w:rPr>
          <w:rFonts w:cs="Arial"/>
          <w:sz w:val="22"/>
        </w:rPr>
        <w:t>Bucaramanga, una ciudad de oportunidades</w:t>
      </w:r>
      <w:r w:rsidRPr="00320082">
        <w:rPr>
          <w:rFonts w:cs="Arial"/>
          <w:sz w:val="22"/>
        </w:rPr>
        <w:t>”, por medio del cual se implementa el programa “Adulto Mayor</w:t>
      </w:r>
      <w:r>
        <w:rPr>
          <w:rFonts w:cs="Arial"/>
          <w:sz w:val="22"/>
        </w:rPr>
        <w:t xml:space="preserve"> y</w:t>
      </w:r>
      <w:r w:rsidRPr="00320082">
        <w:rPr>
          <w:rFonts w:cs="Arial"/>
          <w:sz w:val="22"/>
        </w:rPr>
        <w:t xml:space="preserve"> Digno” </w:t>
      </w:r>
      <w:r>
        <w:rPr>
          <w:rFonts w:cs="Arial"/>
          <w:sz w:val="22"/>
        </w:rPr>
        <w:t xml:space="preserve">el cual tiene como objetivo específico propender porque los adultos mayores en estado de vulnerabilidad tengan una vejez digna, a través de la prestación de servicios que permitan mantener una buena calidad de vida e integrados a su comunidad (sic). </w:t>
      </w:r>
    </w:p>
    <w:p w:rsidR="00C70B17" w:rsidRDefault="00C70B17" w:rsidP="00C70B17">
      <w:pPr>
        <w:jc w:val="both"/>
        <w:rPr>
          <w:rFonts w:cs="Arial"/>
          <w:sz w:val="22"/>
          <w:lang w:eastAsia="es-CO"/>
        </w:rPr>
      </w:pPr>
    </w:p>
    <w:p w:rsidR="00C70B17" w:rsidRDefault="00C70B17" w:rsidP="00C70B17">
      <w:pPr>
        <w:jc w:val="both"/>
        <w:rPr>
          <w:rFonts w:cs="Arial"/>
          <w:sz w:val="22"/>
          <w:lang w:eastAsia="es-CO"/>
        </w:rPr>
      </w:pPr>
    </w:p>
    <w:p w:rsidR="00C70B17" w:rsidRPr="00FC3939" w:rsidRDefault="00C70B17" w:rsidP="00C70B17">
      <w:pPr>
        <w:jc w:val="both"/>
        <w:rPr>
          <w:rFonts w:cs="Arial"/>
          <w:b/>
          <w:sz w:val="22"/>
          <w:lang w:eastAsia="es-CO"/>
        </w:rPr>
      </w:pPr>
      <w:r w:rsidRPr="00B13930">
        <w:rPr>
          <w:rFonts w:cs="Arial"/>
          <w:sz w:val="22"/>
          <w:lang w:eastAsia="es-CO"/>
        </w:rPr>
        <w:lastRenderedPageBreak/>
        <w:t>Que de conformidad al Decreto No. 0066 de 09 de Mayo de 2018, por el cual se modifica y adopta el Manual Especifico de Funciones y Competencias Laborales para los Empleos de la Planta de Cargos del Municipio de Bucaramanga; la Secretaría de Desarrollo Social se configura como la dependencia de la Administración Municipal creada, entre otros aspectos, para dirigir la elaboración e implementación de planes, programas y proyectos que contribuyan a la igualdad de derechos y oportunidades entre los diferentes grupos poblacionales y a la disminución de prácticas discriminatorias que atenten contra el desarrollo político, social, económico y cultural de los grupos poblacionales y la Familia, en concordancia con las normas vigentes</w:t>
      </w:r>
      <w:r w:rsidRPr="00B13930">
        <w:rPr>
          <w:rFonts w:cs="Arial"/>
          <w:b/>
          <w:sz w:val="22"/>
          <w:lang w:eastAsia="es-CO"/>
        </w:rPr>
        <w:t>.</w:t>
      </w:r>
    </w:p>
    <w:p w:rsidR="00C70B17" w:rsidRDefault="00C70B17" w:rsidP="00C70B17">
      <w:pPr>
        <w:shd w:val="clear" w:color="auto" w:fill="FFFFFF"/>
        <w:jc w:val="both"/>
        <w:rPr>
          <w:rFonts w:cs="Arial"/>
          <w:sz w:val="22"/>
        </w:rPr>
      </w:pPr>
      <w:r w:rsidRPr="0007685D">
        <w:rPr>
          <w:rFonts w:cs="Arial"/>
          <w:sz w:val="22"/>
          <w:shd w:val="clear" w:color="auto" w:fill="FFFFFF"/>
        </w:rPr>
        <w:t xml:space="preserve">Que según el </w:t>
      </w:r>
      <w:r>
        <w:rPr>
          <w:rFonts w:cs="Arial"/>
          <w:sz w:val="22"/>
          <w:shd w:val="clear" w:color="auto" w:fill="FFFFFF"/>
        </w:rPr>
        <w:t>reporte</w:t>
      </w:r>
      <w:r w:rsidRPr="0007685D">
        <w:rPr>
          <w:rFonts w:cs="Arial"/>
          <w:sz w:val="22"/>
          <w:shd w:val="clear" w:color="auto" w:fill="FFFFFF"/>
        </w:rPr>
        <w:t xml:space="preserve"> generado por </w:t>
      </w:r>
      <w:r w:rsidRPr="001C1356">
        <w:rPr>
          <w:rFonts w:cs="Arial"/>
          <w:b/>
          <w:sz w:val="22"/>
          <w:shd w:val="clear" w:color="auto" w:fill="FFFFFF"/>
        </w:rPr>
        <w:t>colombiamayor.prosperidadsocial.gov.co</w:t>
      </w:r>
      <w:r w:rsidRPr="0007685D">
        <w:rPr>
          <w:rFonts w:cs="Arial"/>
          <w:sz w:val="22"/>
          <w:shd w:val="clear" w:color="auto" w:fill="FFFFFF"/>
        </w:rPr>
        <w:t xml:space="preserve">, se encuentran </w:t>
      </w:r>
      <w:r>
        <w:rPr>
          <w:rFonts w:cs="Arial"/>
          <w:sz w:val="22"/>
          <w:shd w:val="clear" w:color="auto" w:fill="FFFFFF"/>
        </w:rPr>
        <w:t xml:space="preserve">suspendidos por no cobro en el Municipio de Bucaramanga, </w:t>
      </w:r>
      <w:r w:rsidRPr="0007685D">
        <w:rPr>
          <w:rFonts w:cs="Arial"/>
          <w:sz w:val="22"/>
          <w:shd w:val="clear" w:color="auto" w:fill="FFFFFF"/>
        </w:rPr>
        <w:t xml:space="preserve">las siguientes </w:t>
      </w:r>
      <w:r>
        <w:rPr>
          <w:rFonts w:cs="Arial"/>
          <w:sz w:val="22"/>
          <w:shd w:val="clear" w:color="auto" w:fill="FFFFFF"/>
        </w:rPr>
        <w:t>personas mayores</w:t>
      </w:r>
      <w:r>
        <w:rPr>
          <w:rFonts w:cs="Arial"/>
          <w:sz w:val="22"/>
        </w:rPr>
        <w:t>:</w:t>
      </w:r>
    </w:p>
    <w:p w:rsidR="00C70B17" w:rsidRDefault="00C70B17" w:rsidP="00C70B17">
      <w:pPr>
        <w:shd w:val="clear" w:color="auto" w:fill="FFFFFF"/>
        <w:jc w:val="both"/>
        <w:rPr>
          <w:rFonts w:cs="Arial"/>
          <w:sz w:val="22"/>
        </w:rPr>
      </w:pPr>
    </w:p>
    <w:tbl>
      <w:tblPr>
        <w:tblW w:w="9465" w:type="dxa"/>
        <w:tblCellMar>
          <w:left w:w="70" w:type="dxa"/>
          <w:right w:w="70" w:type="dxa"/>
        </w:tblCellMar>
        <w:tblLook w:val="04A0" w:firstRow="1" w:lastRow="0" w:firstColumn="1" w:lastColumn="0" w:noHBand="0" w:noVBand="1"/>
      </w:tblPr>
      <w:tblGrid>
        <w:gridCol w:w="1696"/>
        <w:gridCol w:w="1985"/>
        <w:gridCol w:w="2126"/>
        <w:gridCol w:w="1843"/>
        <w:gridCol w:w="1815"/>
      </w:tblGrid>
      <w:tr w:rsidR="00C70B17" w:rsidRPr="003B7EF3" w:rsidTr="00A06F34">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B17" w:rsidRPr="003B7EF3" w:rsidRDefault="00C70B17" w:rsidP="00A06F34">
            <w:pPr>
              <w:jc w:val="center"/>
              <w:rPr>
                <w:rFonts w:eastAsia="Times New Roman" w:cs="Arial"/>
                <w:b/>
                <w:bCs/>
                <w:sz w:val="22"/>
                <w:lang w:eastAsia="es-CO"/>
              </w:rPr>
            </w:pPr>
            <w:r w:rsidRPr="003B7EF3">
              <w:rPr>
                <w:rFonts w:eastAsia="Times New Roman" w:cs="Arial"/>
                <w:b/>
                <w:bCs/>
                <w:sz w:val="22"/>
                <w:lang w:eastAsia="es-CO"/>
              </w:rPr>
              <w:t>CEDULA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70B17" w:rsidRPr="003B7EF3" w:rsidRDefault="00C70B17" w:rsidP="00A06F34">
            <w:pPr>
              <w:jc w:val="center"/>
              <w:rPr>
                <w:rFonts w:eastAsia="Times New Roman" w:cs="Arial"/>
                <w:b/>
                <w:bCs/>
                <w:sz w:val="22"/>
                <w:lang w:eastAsia="es-CO"/>
              </w:rPr>
            </w:pPr>
            <w:r w:rsidRPr="003B7EF3">
              <w:rPr>
                <w:rFonts w:eastAsia="Times New Roman" w:cs="Arial"/>
                <w:b/>
                <w:bCs/>
                <w:sz w:val="22"/>
                <w:lang w:eastAsia="es-CO"/>
              </w:rPr>
              <w:t>1er APELLIDO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70B17" w:rsidRPr="003B7EF3" w:rsidRDefault="00C70B17" w:rsidP="00A06F34">
            <w:pPr>
              <w:jc w:val="center"/>
              <w:rPr>
                <w:rFonts w:eastAsia="Times New Roman" w:cs="Arial"/>
                <w:b/>
                <w:bCs/>
                <w:sz w:val="22"/>
                <w:lang w:eastAsia="es-CO"/>
              </w:rPr>
            </w:pPr>
            <w:r w:rsidRPr="003B7EF3">
              <w:rPr>
                <w:rFonts w:eastAsia="Times New Roman" w:cs="Arial"/>
                <w:b/>
                <w:bCs/>
                <w:sz w:val="22"/>
                <w:lang w:eastAsia="es-CO"/>
              </w:rPr>
              <w:t>2do APELLIDO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70B17" w:rsidRPr="003B7EF3" w:rsidRDefault="00C70B17" w:rsidP="00A06F34">
            <w:pPr>
              <w:jc w:val="center"/>
              <w:rPr>
                <w:rFonts w:eastAsia="Times New Roman" w:cs="Arial"/>
                <w:b/>
                <w:bCs/>
                <w:sz w:val="22"/>
                <w:lang w:eastAsia="es-CO"/>
              </w:rPr>
            </w:pPr>
            <w:r w:rsidRPr="003B7EF3">
              <w:rPr>
                <w:rFonts w:eastAsia="Times New Roman" w:cs="Arial"/>
                <w:b/>
                <w:bCs/>
                <w:sz w:val="22"/>
                <w:lang w:eastAsia="es-CO"/>
              </w:rPr>
              <w:t>1er NOMBRE</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70B17" w:rsidRPr="003B7EF3" w:rsidRDefault="00C70B17" w:rsidP="00A06F34">
            <w:pPr>
              <w:jc w:val="center"/>
              <w:rPr>
                <w:rFonts w:eastAsia="Times New Roman" w:cs="Arial"/>
                <w:b/>
                <w:bCs/>
                <w:sz w:val="22"/>
                <w:lang w:eastAsia="es-CO"/>
              </w:rPr>
            </w:pPr>
            <w:r w:rsidRPr="003B7EF3">
              <w:rPr>
                <w:rFonts w:eastAsia="Times New Roman" w:cs="Arial"/>
                <w:b/>
                <w:bCs/>
                <w:sz w:val="22"/>
                <w:lang w:eastAsia="es-CO"/>
              </w:rPr>
              <w:t>2do NOMBRE</w:t>
            </w:r>
          </w:p>
        </w:tc>
      </w:tr>
      <w:tr w:rsidR="00C70B17" w:rsidRPr="003B7EF3" w:rsidTr="00A06F34">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C70B17" w:rsidRPr="0022078B" w:rsidRDefault="00C70B17" w:rsidP="00A06F34">
            <w:pPr>
              <w:jc w:val="center"/>
              <w:rPr>
                <w:rFonts w:eastAsia="Times New Roman" w:cs="Arial"/>
                <w:bCs/>
                <w:sz w:val="22"/>
                <w:lang w:eastAsia="es-CO"/>
              </w:rPr>
            </w:pPr>
          </w:p>
        </w:tc>
      </w:tr>
      <w:tr w:rsidR="00C70B17" w:rsidRPr="003B7EF3" w:rsidTr="00A06F34">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70B17" w:rsidRDefault="00C70B17" w:rsidP="00A06F34">
            <w:pPr>
              <w:jc w:val="center"/>
              <w:rPr>
                <w:rFonts w:eastAsia="Times New Roman" w:cs="Arial"/>
                <w:bCs/>
                <w:sz w:val="21"/>
                <w:szCs w:val="21"/>
                <w:lang w:eastAsia="es-CO"/>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C70B17" w:rsidRPr="0022078B" w:rsidRDefault="00C70B17" w:rsidP="00A06F34">
            <w:pPr>
              <w:jc w:val="center"/>
              <w:rPr>
                <w:rFonts w:eastAsia="Times New Roman" w:cs="Arial"/>
                <w:bCs/>
                <w:sz w:val="22"/>
                <w:lang w:eastAsia="es-CO"/>
              </w:rPr>
            </w:pPr>
          </w:p>
        </w:tc>
      </w:tr>
      <w:tr w:rsidR="00285BA8" w:rsidRPr="003B7EF3" w:rsidTr="00A06F34">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BA8" w:rsidRDefault="00285BA8" w:rsidP="00A06F34">
            <w:pPr>
              <w:jc w:val="center"/>
              <w:rPr>
                <w:rFonts w:eastAsia="Times New Roman" w:cs="Arial"/>
                <w:bCs/>
                <w:sz w:val="21"/>
                <w:szCs w:val="21"/>
                <w:lang w:eastAsia="es-CO"/>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85BA8" w:rsidRDefault="00285BA8" w:rsidP="00A06F34">
            <w:pPr>
              <w:jc w:val="center"/>
              <w:rPr>
                <w:rFonts w:eastAsia="Times New Roman" w:cs="Arial"/>
                <w:bCs/>
                <w:sz w:val="21"/>
                <w:szCs w:val="21"/>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85BA8" w:rsidRDefault="00285BA8" w:rsidP="00A06F34">
            <w:pPr>
              <w:jc w:val="center"/>
              <w:rPr>
                <w:rFonts w:eastAsia="Times New Roman" w:cs="Arial"/>
                <w:bCs/>
                <w:sz w:val="21"/>
                <w:szCs w:val="21"/>
                <w:lang w:eastAsia="es-CO"/>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85BA8" w:rsidRDefault="00285BA8" w:rsidP="00A06F34">
            <w:pPr>
              <w:jc w:val="center"/>
              <w:rPr>
                <w:rFonts w:eastAsia="Times New Roman" w:cs="Arial"/>
                <w:bCs/>
                <w:sz w:val="21"/>
                <w:szCs w:val="21"/>
                <w:lang w:eastAsia="es-CO"/>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285BA8" w:rsidRDefault="00285BA8" w:rsidP="00A06F34">
            <w:pPr>
              <w:jc w:val="center"/>
              <w:rPr>
                <w:rFonts w:eastAsia="Times New Roman" w:cs="Arial"/>
                <w:bCs/>
                <w:sz w:val="22"/>
                <w:lang w:eastAsia="es-CO"/>
              </w:rPr>
            </w:pPr>
          </w:p>
        </w:tc>
      </w:tr>
    </w:tbl>
    <w:p w:rsidR="00C70B17" w:rsidRPr="009659B4" w:rsidRDefault="00C70B17" w:rsidP="00C70B17">
      <w:pPr>
        <w:jc w:val="both"/>
        <w:rPr>
          <w:rFonts w:cs="Arial"/>
          <w:sz w:val="12"/>
          <w:szCs w:val="12"/>
        </w:rPr>
      </w:pPr>
    </w:p>
    <w:p w:rsidR="00C70B17" w:rsidRDefault="00C70B17" w:rsidP="00C70B17">
      <w:pPr>
        <w:jc w:val="both"/>
        <w:rPr>
          <w:rFonts w:cs="Arial"/>
          <w:sz w:val="22"/>
        </w:rPr>
      </w:pPr>
    </w:p>
    <w:p w:rsidR="00C70B17" w:rsidRPr="00320082" w:rsidRDefault="00C70B17" w:rsidP="00C70B17">
      <w:pPr>
        <w:jc w:val="both"/>
        <w:rPr>
          <w:rFonts w:cs="Arial"/>
          <w:color w:val="000000" w:themeColor="text1"/>
          <w:sz w:val="22"/>
        </w:rPr>
      </w:pPr>
      <w:r w:rsidRPr="0007685D">
        <w:rPr>
          <w:rFonts w:cs="Arial"/>
          <w:sz w:val="22"/>
        </w:rPr>
        <w:t xml:space="preserve">Que una vez identificados los beneficiarios que no realizaron cobros consecutivos por cuatro (4) periodos, se procedió a </w:t>
      </w:r>
      <w:r w:rsidRPr="006327FA">
        <w:rPr>
          <w:rFonts w:cs="Arial"/>
          <w:sz w:val="22"/>
        </w:rPr>
        <w:t xml:space="preserve">notificarles el Acto Administrativo a través del cual fueron suspendidos </w:t>
      </w:r>
      <w:r w:rsidRPr="00DA7894">
        <w:rPr>
          <w:rFonts w:cs="Arial"/>
          <w:sz w:val="22"/>
        </w:rPr>
        <w:t xml:space="preserve">del programa </w:t>
      </w:r>
      <w:r w:rsidRPr="00320082">
        <w:rPr>
          <w:rFonts w:cs="Arial"/>
          <w:color w:val="000000" w:themeColor="text1"/>
          <w:sz w:val="22"/>
        </w:rPr>
        <w:t>Colombia Mayor</w:t>
      </w:r>
      <w:r>
        <w:rPr>
          <w:rFonts w:cs="Arial"/>
          <w:color w:val="000000" w:themeColor="text1"/>
          <w:sz w:val="22"/>
        </w:rPr>
        <w:t>.</w:t>
      </w:r>
    </w:p>
    <w:p w:rsidR="00C70B17" w:rsidRDefault="00C70B17" w:rsidP="00C70B17">
      <w:pPr>
        <w:jc w:val="both"/>
        <w:rPr>
          <w:rFonts w:cs="Arial"/>
          <w:sz w:val="14"/>
        </w:rPr>
      </w:pPr>
    </w:p>
    <w:p w:rsidR="00C70B17" w:rsidRDefault="00C70B17" w:rsidP="00C70B17">
      <w:pPr>
        <w:jc w:val="both"/>
        <w:rPr>
          <w:rFonts w:cs="Arial"/>
          <w:sz w:val="22"/>
        </w:rPr>
      </w:pPr>
      <w:r w:rsidRPr="0007685D">
        <w:rPr>
          <w:rFonts w:cs="Arial"/>
          <w:sz w:val="22"/>
        </w:rPr>
        <w:t xml:space="preserve">Que algunos beneficiarios a quienes se les suspendió la entrega de </w:t>
      </w:r>
      <w:r>
        <w:rPr>
          <w:rFonts w:cs="Arial"/>
          <w:sz w:val="22"/>
        </w:rPr>
        <w:t>los bonos</w:t>
      </w:r>
      <w:r w:rsidRPr="0007685D">
        <w:rPr>
          <w:rFonts w:cs="Arial"/>
          <w:sz w:val="22"/>
        </w:rPr>
        <w:t>, presentaron y acreditaron las razones por las cuales les fue imposible realizar el cobro de los bonos, así</w:t>
      </w:r>
      <w:r>
        <w:rPr>
          <w:rFonts w:cs="Arial"/>
          <w:sz w:val="22"/>
        </w:rPr>
        <w:t xml:space="preserve"> </w:t>
      </w:r>
      <w:r w:rsidRPr="0007685D">
        <w:rPr>
          <w:rFonts w:cs="Arial"/>
          <w:sz w:val="22"/>
        </w:rPr>
        <w:t>mismo radicaron solicitud de activación acompañada de soportes médicos o copia de las historias clínicas</w:t>
      </w:r>
      <w:r>
        <w:rPr>
          <w:rFonts w:cs="Arial"/>
          <w:sz w:val="22"/>
        </w:rPr>
        <w:t xml:space="preserve"> y argumentos</w:t>
      </w:r>
      <w:r w:rsidRPr="0007685D">
        <w:rPr>
          <w:rFonts w:cs="Arial"/>
          <w:sz w:val="22"/>
        </w:rPr>
        <w:t>, a saber:</w:t>
      </w:r>
      <w:r>
        <w:rPr>
          <w:rFonts w:cs="Arial"/>
          <w:sz w:val="22"/>
        </w:rPr>
        <w:t xml:space="preserve"> </w:t>
      </w:r>
    </w:p>
    <w:p w:rsidR="00C70B17" w:rsidRDefault="00C70B17" w:rsidP="00C70B17">
      <w:pPr>
        <w:jc w:val="both"/>
        <w:rPr>
          <w:rFonts w:cs="Arial"/>
          <w:sz w:val="14"/>
        </w:rPr>
      </w:pPr>
    </w:p>
    <w:tbl>
      <w:tblPr>
        <w:tblW w:w="9242" w:type="dxa"/>
        <w:jc w:val="center"/>
        <w:tblCellMar>
          <w:left w:w="70" w:type="dxa"/>
          <w:right w:w="70" w:type="dxa"/>
        </w:tblCellMar>
        <w:tblLook w:val="04A0" w:firstRow="1" w:lastRow="0" w:firstColumn="1" w:lastColumn="0" w:noHBand="0" w:noVBand="1"/>
      </w:tblPr>
      <w:tblGrid>
        <w:gridCol w:w="1446"/>
        <w:gridCol w:w="1843"/>
        <w:gridCol w:w="2126"/>
        <w:gridCol w:w="1984"/>
        <w:gridCol w:w="1843"/>
      </w:tblGrid>
      <w:tr w:rsidR="00C70B17" w:rsidRPr="00142D83" w:rsidTr="00A06F34">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NOMBRE</w:t>
            </w:r>
          </w:p>
        </w:tc>
      </w:tr>
      <w:tr w:rsidR="00006C78" w:rsidRPr="00AC6434" w:rsidTr="00A06F34">
        <w:trPr>
          <w:trHeight w:val="300"/>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2126" w:type="dxa"/>
            <w:tcBorders>
              <w:top w:val="nil"/>
              <w:left w:val="nil"/>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1984" w:type="dxa"/>
            <w:tcBorders>
              <w:top w:val="nil"/>
              <w:left w:val="nil"/>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006C78" w:rsidRPr="0022078B" w:rsidRDefault="00006C78" w:rsidP="00006C78">
            <w:pPr>
              <w:jc w:val="center"/>
              <w:rPr>
                <w:rFonts w:eastAsia="Times New Roman" w:cs="Arial"/>
                <w:bCs/>
                <w:sz w:val="22"/>
                <w:lang w:eastAsia="es-CO"/>
              </w:rPr>
            </w:pPr>
          </w:p>
        </w:tc>
      </w:tr>
      <w:tr w:rsidR="00006C78" w:rsidRPr="00F56D11" w:rsidTr="00A06F34">
        <w:trPr>
          <w:trHeight w:val="789"/>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C78" w:rsidRPr="00F56D11" w:rsidRDefault="00006C78" w:rsidP="00006C78">
            <w:pPr>
              <w:jc w:val="center"/>
              <w:rPr>
                <w:rFonts w:eastAsia="Times New Roman" w:cs="Arial"/>
                <w:b/>
                <w:bCs/>
                <w:sz w:val="21"/>
                <w:szCs w:val="21"/>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006C78" w:rsidRPr="00F56D11" w:rsidRDefault="00006C78" w:rsidP="00006C78">
            <w:pPr>
              <w:jc w:val="both"/>
              <w:rPr>
                <w:rFonts w:eastAsia="Times New Roman" w:cs="Arial"/>
                <w:sz w:val="21"/>
                <w:szCs w:val="21"/>
                <w:lang w:eastAsia="es-CO"/>
              </w:rPr>
            </w:pPr>
          </w:p>
        </w:tc>
      </w:tr>
    </w:tbl>
    <w:p w:rsidR="00C70B17" w:rsidRDefault="00C70B17" w:rsidP="00C70B17">
      <w:pPr>
        <w:jc w:val="both"/>
        <w:rPr>
          <w:rFonts w:cs="Arial"/>
          <w:sz w:val="14"/>
        </w:rPr>
      </w:pPr>
    </w:p>
    <w:p w:rsidR="00C70B17" w:rsidRDefault="00C70B17" w:rsidP="00C70B17">
      <w:pPr>
        <w:jc w:val="both"/>
        <w:rPr>
          <w:rFonts w:cs="Arial"/>
          <w:sz w:val="14"/>
        </w:rPr>
      </w:pPr>
    </w:p>
    <w:tbl>
      <w:tblPr>
        <w:tblW w:w="9242" w:type="dxa"/>
        <w:jc w:val="center"/>
        <w:tblCellMar>
          <w:left w:w="70" w:type="dxa"/>
          <w:right w:w="70" w:type="dxa"/>
        </w:tblCellMar>
        <w:tblLook w:val="04A0" w:firstRow="1" w:lastRow="0" w:firstColumn="1" w:lastColumn="0" w:noHBand="0" w:noVBand="1"/>
      </w:tblPr>
      <w:tblGrid>
        <w:gridCol w:w="1446"/>
        <w:gridCol w:w="1843"/>
        <w:gridCol w:w="2126"/>
        <w:gridCol w:w="1984"/>
        <w:gridCol w:w="1843"/>
      </w:tblGrid>
      <w:tr w:rsidR="00C70B17" w:rsidRPr="00142D83" w:rsidTr="00A06F34">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NOMBRE</w:t>
            </w:r>
          </w:p>
        </w:tc>
      </w:tr>
      <w:tr w:rsidR="00006C78" w:rsidRPr="00AC6434" w:rsidTr="00A06F34">
        <w:trPr>
          <w:trHeight w:val="300"/>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2126" w:type="dxa"/>
            <w:tcBorders>
              <w:top w:val="nil"/>
              <w:left w:val="nil"/>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1984" w:type="dxa"/>
            <w:tcBorders>
              <w:top w:val="nil"/>
              <w:left w:val="nil"/>
              <w:bottom w:val="single" w:sz="4" w:space="0" w:color="auto"/>
              <w:right w:val="single" w:sz="4" w:space="0" w:color="auto"/>
            </w:tcBorders>
            <w:shd w:val="clear" w:color="000000" w:fill="FFFFFF"/>
            <w:noWrap/>
            <w:vAlign w:val="center"/>
          </w:tcPr>
          <w:p w:rsidR="00006C78" w:rsidRDefault="00006C78" w:rsidP="00006C78">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006C78" w:rsidRPr="0022078B" w:rsidRDefault="00006C78" w:rsidP="00006C78">
            <w:pPr>
              <w:jc w:val="center"/>
              <w:rPr>
                <w:rFonts w:eastAsia="Times New Roman" w:cs="Arial"/>
                <w:bCs/>
                <w:sz w:val="22"/>
                <w:lang w:eastAsia="es-CO"/>
              </w:rPr>
            </w:pPr>
          </w:p>
        </w:tc>
      </w:tr>
      <w:tr w:rsidR="00006C78" w:rsidRPr="00F56D11" w:rsidTr="00A06F34">
        <w:trPr>
          <w:trHeight w:val="789"/>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C78" w:rsidRPr="00F56D11" w:rsidRDefault="00006C78" w:rsidP="00006C78">
            <w:pPr>
              <w:jc w:val="center"/>
              <w:rPr>
                <w:rFonts w:eastAsia="Times New Roman" w:cs="Arial"/>
                <w:b/>
                <w:bCs/>
                <w:sz w:val="21"/>
                <w:szCs w:val="21"/>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006C78" w:rsidRPr="00F56D11" w:rsidRDefault="00006C78" w:rsidP="00006C78">
            <w:pPr>
              <w:jc w:val="both"/>
              <w:rPr>
                <w:rFonts w:eastAsia="Times New Roman" w:cs="Arial"/>
                <w:sz w:val="21"/>
                <w:szCs w:val="21"/>
                <w:lang w:eastAsia="es-CO"/>
              </w:rPr>
            </w:pPr>
          </w:p>
        </w:tc>
      </w:tr>
    </w:tbl>
    <w:p w:rsidR="00C70B17" w:rsidRDefault="00C70B17" w:rsidP="00C70B17">
      <w:pPr>
        <w:jc w:val="both"/>
        <w:rPr>
          <w:rFonts w:cs="Arial"/>
          <w:sz w:val="14"/>
        </w:rPr>
      </w:pPr>
    </w:p>
    <w:p w:rsidR="00C70B17" w:rsidRDefault="00C70B17" w:rsidP="00C70B17">
      <w:pPr>
        <w:jc w:val="both"/>
        <w:rPr>
          <w:rFonts w:cs="Arial"/>
          <w:sz w:val="14"/>
        </w:rPr>
      </w:pPr>
    </w:p>
    <w:tbl>
      <w:tblPr>
        <w:tblW w:w="9242" w:type="dxa"/>
        <w:jc w:val="center"/>
        <w:tblCellMar>
          <w:left w:w="70" w:type="dxa"/>
          <w:right w:w="70" w:type="dxa"/>
        </w:tblCellMar>
        <w:tblLook w:val="04A0" w:firstRow="1" w:lastRow="0" w:firstColumn="1" w:lastColumn="0" w:noHBand="0" w:noVBand="1"/>
      </w:tblPr>
      <w:tblGrid>
        <w:gridCol w:w="1446"/>
        <w:gridCol w:w="1843"/>
        <w:gridCol w:w="2126"/>
        <w:gridCol w:w="1984"/>
        <w:gridCol w:w="1843"/>
      </w:tblGrid>
      <w:tr w:rsidR="00C70B17" w:rsidRPr="00142D83" w:rsidTr="00A06F34">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70B17" w:rsidRPr="00142D83" w:rsidRDefault="00C70B17"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NOMBRE</w:t>
            </w:r>
          </w:p>
        </w:tc>
      </w:tr>
      <w:tr w:rsidR="004F649F" w:rsidRPr="00AC6434" w:rsidTr="00A06F34">
        <w:trPr>
          <w:trHeight w:val="300"/>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tcPr>
          <w:p w:rsidR="004F649F" w:rsidRDefault="004F649F" w:rsidP="004F649F">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4F649F" w:rsidRDefault="004F649F" w:rsidP="004F649F">
            <w:pPr>
              <w:jc w:val="center"/>
              <w:rPr>
                <w:rFonts w:eastAsia="Times New Roman" w:cs="Arial"/>
                <w:bCs/>
                <w:sz w:val="21"/>
                <w:szCs w:val="21"/>
                <w:lang w:eastAsia="es-CO"/>
              </w:rPr>
            </w:pPr>
          </w:p>
        </w:tc>
        <w:tc>
          <w:tcPr>
            <w:tcW w:w="2126" w:type="dxa"/>
            <w:tcBorders>
              <w:top w:val="nil"/>
              <w:left w:val="nil"/>
              <w:bottom w:val="single" w:sz="4" w:space="0" w:color="auto"/>
              <w:right w:val="single" w:sz="4" w:space="0" w:color="auto"/>
            </w:tcBorders>
            <w:shd w:val="clear" w:color="000000" w:fill="FFFFFF"/>
            <w:noWrap/>
            <w:vAlign w:val="center"/>
          </w:tcPr>
          <w:p w:rsidR="004F649F" w:rsidRDefault="004F649F" w:rsidP="004F649F">
            <w:pPr>
              <w:jc w:val="center"/>
              <w:rPr>
                <w:rFonts w:eastAsia="Times New Roman" w:cs="Arial"/>
                <w:bCs/>
                <w:sz w:val="21"/>
                <w:szCs w:val="21"/>
                <w:lang w:eastAsia="es-CO"/>
              </w:rPr>
            </w:pPr>
          </w:p>
        </w:tc>
        <w:tc>
          <w:tcPr>
            <w:tcW w:w="1984" w:type="dxa"/>
            <w:tcBorders>
              <w:top w:val="nil"/>
              <w:left w:val="nil"/>
              <w:bottom w:val="single" w:sz="4" w:space="0" w:color="auto"/>
              <w:right w:val="single" w:sz="4" w:space="0" w:color="auto"/>
            </w:tcBorders>
            <w:shd w:val="clear" w:color="000000" w:fill="FFFFFF"/>
            <w:noWrap/>
            <w:vAlign w:val="center"/>
          </w:tcPr>
          <w:p w:rsidR="004F649F" w:rsidRDefault="004F649F" w:rsidP="004F649F">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4F649F" w:rsidRDefault="004F649F" w:rsidP="004F649F">
            <w:pPr>
              <w:jc w:val="center"/>
              <w:rPr>
                <w:rFonts w:eastAsia="Times New Roman" w:cs="Arial"/>
                <w:bCs/>
                <w:sz w:val="22"/>
                <w:lang w:eastAsia="es-CO"/>
              </w:rPr>
            </w:pPr>
          </w:p>
        </w:tc>
      </w:tr>
      <w:tr w:rsidR="004F649F" w:rsidRPr="00F56D11" w:rsidTr="00A06F34">
        <w:trPr>
          <w:trHeight w:val="789"/>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649F" w:rsidRPr="00F56D11" w:rsidRDefault="004F649F" w:rsidP="004F649F">
            <w:pPr>
              <w:jc w:val="center"/>
              <w:rPr>
                <w:rFonts w:eastAsia="Times New Roman" w:cs="Arial"/>
                <w:b/>
                <w:bCs/>
                <w:sz w:val="21"/>
                <w:szCs w:val="21"/>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4F649F" w:rsidRPr="00F56D11" w:rsidRDefault="004F649F" w:rsidP="004F649F">
            <w:pPr>
              <w:jc w:val="both"/>
              <w:rPr>
                <w:rFonts w:eastAsia="Times New Roman" w:cs="Arial"/>
                <w:sz w:val="21"/>
                <w:szCs w:val="21"/>
                <w:lang w:eastAsia="es-CO"/>
              </w:rPr>
            </w:pPr>
          </w:p>
        </w:tc>
      </w:tr>
    </w:tbl>
    <w:p w:rsidR="00C70B17" w:rsidRDefault="00C70B17" w:rsidP="00C70B17">
      <w:pPr>
        <w:jc w:val="both"/>
        <w:rPr>
          <w:rFonts w:cs="Arial"/>
          <w:sz w:val="14"/>
        </w:rPr>
      </w:pPr>
    </w:p>
    <w:p w:rsidR="00C70B17" w:rsidRPr="00BC4035" w:rsidRDefault="00C70B17" w:rsidP="00C70B17">
      <w:pPr>
        <w:jc w:val="both"/>
        <w:rPr>
          <w:rFonts w:cs="Arial"/>
          <w:sz w:val="22"/>
        </w:rPr>
      </w:pPr>
      <w:r w:rsidRPr="00BC4035">
        <w:rPr>
          <w:rFonts w:cs="Arial"/>
          <w:sz w:val="22"/>
        </w:rPr>
        <w:t xml:space="preserve">Que el Programa </w:t>
      </w:r>
      <w:r>
        <w:rPr>
          <w:rFonts w:cs="Arial"/>
          <w:sz w:val="22"/>
        </w:rPr>
        <w:t>Adulto Mayor y Digno de la Secretaría de Desarrollo Social</w:t>
      </w:r>
      <w:r w:rsidRPr="00BC4035">
        <w:rPr>
          <w:rFonts w:cs="Arial"/>
          <w:sz w:val="22"/>
        </w:rPr>
        <w:t xml:space="preserve"> del Municipio de Bucaramanga pudo corroborar y evidenciar la condición de discapacidad o vulnerabilidad de los adultos mayores en mención. </w:t>
      </w:r>
    </w:p>
    <w:p w:rsidR="00C70B17" w:rsidRDefault="00C70B17" w:rsidP="00C70B17">
      <w:pPr>
        <w:jc w:val="both"/>
        <w:rPr>
          <w:rFonts w:cs="Arial"/>
          <w:sz w:val="10"/>
          <w:szCs w:val="12"/>
        </w:rPr>
      </w:pPr>
    </w:p>
    <w:p w:rsidR="00C70B17" w:rsidRPr="009659B4" w:rsidRDefault="00C70B17" w:rsidP="00C70B17">
      <w:pPr>
        <w:jc w:val="both"/>
        <w:rPr>
          <w:rFonts w:cs="Arial"/>
          <w:sz w:val="10"/>
          <w:szCs w:val="12"/>
        </w:rPr>
      </w:pPr>
    </w:p>
    <w:p w:rsidR="00C70B17" w:rsidRDefault="00C70B17" w:rsidP="00C70B17">
      <w:pPr>
        <w:jc w:val="both"/>
        <w:rPr>
          <w:rFonts w:cs="Arial"/>
          <w:sz w:val="22"/>
        </w:rPr>
      </w:pPr>
      <w:r w:rsidRPr="00BC4035">
        <w:rPr>
          <w:rFonts w:cs="Arial"/>
          <w:sz w:val="22"/>
        </w:rPr>
        <w:t xml:space="preserve">Que verificadas y probadas las circunstancias de fuerza mayor que generaron la dificultad de cobro consecutivo como lo son: </w:t>
      </w:r>
      <w:r w:rsidRPr="00BC4035">
        <w:rPr>
          <w:rFonts w:cs="Arial"/>
          <w:b/>
          <w:sz w:val="22"/>
        </w:rPr>
        <w:t>a)</w:t>
      </w:r>
      <w:r w:rsidRPr="00BC4035">
        <w:rPr>
          <w:rFonts w:cs="Arial"/>
          <w:sz w:val="22"/>
        </w:rPr>
        <w:t xml:space="preserve"> Avanzada edad de los adultos mayores que les imp</w:t>
      </w:r>
      <w:r>
        <w:rPr>
          <w:rFonts w:cs="Arial"/>
          <w:sz w:val="22"/>
        </w:rPr>
        <w:t xml:space="preserve">ide acceder </w:t>
      </w:r>
      <w:r w:rsidRPr="00320082">
        <w:rPr>
          <w:rFonts w:cs="Arial"/>
          <w:sz w:val="22"/>
        </w:rPr>
        <w:t xml:space="preserve">al sitio de cobro. </w:t>
      </w:r>
      <w:r w:rsidRPr="00320082">
        <w:rPr>
          <w:rFonts w:cs="Arial"/>
          <w:b/>
          <w:sz w:val="22"/>
        </w:rPr>
        <w:t>b)</w:t>
      </w:r>
      <w:r w:rsidRPr="00320082">
        <w:rPr>
          <w:rFonts w:cs="Arial"/>
          <w:sz w:val="22"/>
        </w:rPr>
        <w:t xml:space="preserve"> Enfermedad o discapacidad que limita la movilización hasta el sitio de cobro</w:t>
      </w:r>
      <w:r>
        <w:rPr>
          <w:rFonts w:cs="Arial"/>
          <w:sz w:val="22"/>
        </w:rPr>
        <w:t xml:space="preserve"> </w:t>
      </w:r>
      <w:r w:rsidRPr="0066361C">
        <w:rPr>
          <w:rFonts w:cs="Arial"/>
          <w:b/>
          <w:sz w:val="22"/>
        </w:rPr>
        <w:t>c)</w:t>
      </w:r>
      <w:r w:rsidRPr="00320082">
        <w:rPr>
          <w:rFonts w:cs="Arial"/>
          <w:sz w:val="22"/>
        </w:rPr>
        <w:t xml:space="preserve"> Adultos mayores que cambiaron de domicilio y no pudieron enterarse a tiempo que ingresaron al programa como beneficiarios. </w:t>
      </w:r>
      <w:r w:rsidRPr="00320082">
        <w:rPr>
          <w:rFonts w:cs="Arial"/>
          <w:b/>
          <w:sz w:val="22"/>
        </w:rPr>
        <w:t>d)</w:t>
      </w:r>
      <w:r w:rsidRPr="00320082">
        <w:rPr>
          <w:rFonts w:cs="Arial"/>
          <w:sz w:val="22"/>
        </w:rPr>
        <w:t xml:space="preserve"> Traslado a otros municipios para atender diligencias personales que no les permitió regresar a tiempo a cobrar.</w:t>
      </w:r>
      <w:r>
        <w:rPr>
          <w:rFonts w:cs="Arial"/>
          <w:sz w:val="22"/>
        </w:rPr>
        <w:t xml:space="preserve"> y</w:t>
      </w:r>
      <w:r w:rsidRPr="00320082">
        <w:rPr>
          <w:rFonts w:cs="Arial"/>
          <w:sz w:val="22"/>
        </w:rPr>
        <w:t xml:space="preserve"> </w:t>
      </w:r>
      <w:r w:rsidRPr="00320082">
        <w:rPr>
          <w:rFonts w:cs="Arial"/>
          <w:b/>
          <w:sz w:val="22"/>
        </w:rPr>
        <w:t>e)</w:t>
      </w:r>
      <w:r w:rsidRPr="00320082">
        <w:rPr>
          <w:rFonts w:cs="Arial"/>
          <w:sz w:val="22"/>
        </w:rPr>
        <w:t xml:space="preserve"> Perdida de documento de identificación.</w:t>
      </w:r>
    </w:p>
    <w:p w:rsidR="00D11C34" w:rsidRDefault="00D11C34" w:rsidP="00C70B17">
      <w:pPr>
        <w:jc w:val="both"/>
        <w:rPr>
          <w:rFonts w:cs="Arial"/>
          <w:sz w:val="22"/>
        </w:rPr>
      </w:pPr>
    </w:p>
    <w:p w:rsidR="00C70B17" w:rsidRPr="00BC4035" w:rsidRDefault="00C70B17" w:rsidP="00C70B17">
      <w:pPr>
        <w:jc w:val="both"/>
        <w:rPr>
          <w:rFonts w:cs="Arial"/>
          <w:sz w:val="22"/>
        </w:rPr>
      </w:pPr>
      <w:r>
        <w:rPr>
          <w:rFonts w:cs="Arial"/>
          <w:sz w:val="22"/>
        </w:rPr>
        <w:lastRenderedPageBreak/>
        <w:t>Que l</w:t>
      </w:r>
      <w:r w:rsidRPr="00BC4035">
        <w:rPr>
          <w:rFonts w:cs="Arial"/>
          <w:sz w:val="22"/>
        </w:rPr>
        <w:t>a Administración Municipal de Bucaramanga requiere la activación de los beneficiarios qu</w:t>
      </w:r>
      <w:r>
        <w:rPr>
          <w:rFonts w:cs="Arial"/>
          <w:sz w:val="22"/>
        </w:rPr>
        <w:t>e</w:t>
      </w:r>
      <w:r w:rsidRPr="00BC4035">
        <w:rPr>
          <w:rFonts w:cs="Arial"/>
          <w:sz w:val="22"/>
        </w:rPr>
        <w:t xml:space="preserve"> se encuentran en condición de extrema vulnerabilidad.</w:t>
      </w:r>
    </w:p>
    <w:p w:rsidR="00D11C34" w:rsidRDefault="00D11C34" w:rsidP="00C70B17">
      <w:pPr>
        <w:rPr>
          <w:rFonts w:cs="Arial"/>
          <w:sz w:val="22"/>
        </w:rPr>
      </w:pPr>
    </w:p>
    <w:p w:rsidR="00C70B17" w:rsidRDefault="00C70B17" w:rsidP="00C70B17">
      <w:pPr>
        <w:rPr>
          <w:rFonts w:cs="Arial"/>
          <w:sz w:val="22"/>
        </w:rPr>
      </w:pPr>
      <w:r w:rsidRPr="00BC4035">
        <w:rPr>
          <w:rFonts w:cs="Arial"/>
          <w:sz w:val="22"/>
        </w:rPr>
        <w:t xml:space="preserve">En mérito de lo expuesto, </w:t>
      </w:r>
      <w:r>
        <w:rPr>
          <w:rFonts w:cs="Arial"/>
          <w:sz w:val="22"/>
        </w:rPr>
        <w:t>el</w:t>
      </w:r>
      <w:r w:rsidRPr="00BC4035">
        <w:rPr>
          <w:rFonts w:cs="Arial"/>
          <w:sz w:val="22"/>
        </w:rPr>
        <w:t xml:space="preserve"> Secretari</w:t>
      </w:r>
      <w:r>
        <w:rPr>
          <w:rFonts w:cs="Arial"/>
          <w:sz w:val="22"/>
        </w:rPr>
        <w:t>o</w:t>
      </w:r>
      <w:r w:rsidRPr="00BC4035">
        <w:rPr>
          <w:rFonts w:cs="Arial"/>
          <w:sz w:val="22"/>
        </w:rPr>
        <w:t xml:space="preserve"> de Desarrollo Social </w:t>
      </w:r>
    </w:p>
    <w:p w:rsidR="00C70B17" w:rsidRDefault="00C70B17" w:rsidP="00C70B17">
      <w:pPr>
        <w:jc w:val="center"/>
        <w:rPr>
          <w:rFonts w:cs="Arial"/>
          <w:b/>
          <w:sz w:val="22"/>
        </w:rPr>
      </w:pPr>
      <w:r w:rsidRPr="00BC4035">
        <w:rPr>
          <w:rFonts w:cs="Arial"/>
          <w:b/>
          <w:sz w:val="22"/>
        </w:rPr>
        <w:t>RESUELVE:</w:t>
      </w:r>
    </w:p>
    <w:p w:rsidR="00C70B17" w:rsidRDefault="00C70B17" w:rsidP="00C70B17">
      <w:pPr>
        <w:jc w:val="both"/>
        <w:rPr>
          <w:rFonts w:cs="Arial"/>
          <w:sz w:val="22"/>
        </w:rPr>
      </w:pPr>
      <w:r w:rsidRPr="00BC4035">
        <w:rPr>
          <w:rFonts w:cs="Arial"/>
          <w:b/>
          <w:sz w:val="22"/>
        </w:rPr>
        <w:t>ARTÍCULO PRIMERO:</w:t>
      </w:r>
      <w:r w:rsidRPr="00BC4035">
        <w:rPr>
          <w:rFonts w:cs="Arial"/>
          <w:sz w:val="22"/>
        </w:rPr>
        <w:t xml:space="preserve"> Activar a l</w:t>
      </w:r>
      <w:r>
        <w:rPr>
          <w:rFonts w:cs="Arial"/>
          <w:sz w:val="22"/>
        </w:rPr>
        <w:t>a</w:t>
      </w:r>
      <w:r w:rsidRPr="00BC4035">
        <w:rPr>
          <w:rFonts w:cs="Arial"/>
          <w:sz w:val="22"/>
        </w:rPr>
        <w:t xml:space="preserve">s siguientes </w:t>
      </w:r>
      <w:r>
        <w:rPr>
          <w:rFonts w:cs="Arial"/>
          <w:sz w:val="22"/>
        </w:rPr>
        <w:t xml:space="preserve">personas </w:t>
      </w:r>
      <w:r w:rsidRPr="00BC4035">
        <w:rPr>
          <w:rFonts w:cs="Arial"/>
          <w:sz w:val="22"/>
        </w:rPr>
        <w:t xml:space="preserve">Mayores en el Programa Colombia Mayor, teniendo en cuenta las razones expuestas en la parte considerativa: </w:t>
      </w:r>
    </w:p>
    <w:p w:rsidR="00D332A5" w:rsidRDefault="00D332A5" w:rsidP="00C70B17">
      <w:pPr>
        <w:jc w:val="both"/>
        <w:rPr>
          <w:rFonts w:cs="Arial"/>
          <w:b/>
          <w:sz w:val="22"/>
        </w:rPr>
      </w:pPr>
    </w:p>
    <w:tbl>
      <w:tblPr>
        <w:tblW w:w="9242" w:type="dxa"/>
        <w:jc w:val="center"/>
        <w:tblCellMar>
          <w:left w:w="70" w:type="dxa"/>
          <w:right w:w="70" w:type="dxa"/>
        </w:tblCellMar>
        <w:tblLook w:val="04A0" w:firstRow="1" w:lastRow="0" w:firstColumn="1" w:lastColumn="0" w:noHBand="0" w:noVBand="1"/>
      </w:tblPr>
      <w:tblGrid>
        <w:gridCol w:w="1446"/>
        <w:gridCol w:w="1843"/>
        <w:gridCol w:w="2126"/>
        <w:gridCol w:w="1984"/>
        <w:gridCol w:w="1843"/>
      </w:tblGrid>
      <w:tr w:rsidR="00D332A5" w:rsidRPr="00142D83" w:rsidTr="00A06F34">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NOMBRE</w:t>
            </w:r>
          </w:p>
        </w:tc>
      </w:tr>
      <w:tr w:rsidR="009235E0" w:rsidRPr="00AC6434" w:rsidTr="00A06F34">
        <w:trPr>
          <w:trHeight w:val="300"/>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2126"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984"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9235E0" w:rsidRPr="0022078B" w:rsidRDefault="009235E0" w:rsidP="009235E0">
            <w:pPr>
              <w:jc w:val="center"/>
              <w:rPr>
                <w:rFonts w:eastAsia="Times New Roman" w:cs="Arial"/>
                <w:bCs/>
                <w:sz w:val="22"/>
                <w:lang w:eastAsia="es-CO"/>
              </w:rPr>
            </w:pPr>
          </w:p>
        </w:tc>
      </w:tr>
      <w:tr w:rsidR="009235E0" w:rsidRPr="00F56D11" w:rsidTr="00A06F34">
        <w:trPr>
          <w:trHeight w:val="789"/>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35E0" w:rsidRPr="00F56D11" w:rsidRDefault="009235E0" w:rsidP="009235E0">
            <w:pPr>
              <w:jc w:val="center"/>
              <w:rPr>
                <w:rFonts w:eastAsia="Times New Roman" w:cs="Arial"/>
                <w:b/>
                <w:bCs/>
                <w:sz w:val="21"/>
                <w:szCs w:val="21"/>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9235E0" w:rsidRPr="00F56D11" w:rsidRDefault="009235E0" w:rsidP="009235E0">
            <w:pPr>
              <w:jc w:val="both"/>
              <w:rPr>
                <w:rFonts w:eastAsia="Times New Roman" w:cs="Arial"/>
                <w:sz w:val="21"/>
                <w:szCs w:val="21"/>
                <w:lang w:eastAsia="es-CO"/>
              </w:rPr>
            </w:pPr>
          </w:p>
        </w:tc>
      </w:tr>
    </w:tbl>
    <w:p w:rsidR="00D332A5" w:rsidRDefault="00D332A5" w:rsidP="00C70B17">
      <w:pPr>
        <w:jc w:val="both"/>
        <w:rPr>
          <w:rFonts w:cs="Arial"/>
          <w:b/>
          <w:sz w:val="22"/>
        </w:rPr>
      </w:pPr>
    </w:p>
    <w:tbl>
      <w:tblPr>
        <w:tblW w:w="9242" w:type="dxa"/>
        <w:jc w:val="center"/>
        <w:tblCellMar>
          <w:left w:w="70" w:type="dxa"/>
          <w:right w:w="70" w:type="dxa"/>
        </w:tblCellMar>
        <w:tblLook w:val="04A0" w:firstRow="1" w:lastRow="0" w:firstColumn="1" w:lastColumn="0" w:noHBand="0" w:noVBand="1"/>
      </w:tblPr>
      <w:tblGrid>
        <w:gridCol w:w="1446"/>
        <w:gridCol w:w="1843"/>
        <w:gridCol w:w="2126"/>
        <w:gridCol w:w="1984"/>
        <w:gridCol w:w="1843"/>
      </w:tblGrid>
      <w:tr w:rsidR="00D332A5" w:rsidRPr="00142D83" w:rsidTr="00A06F34">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D332A5" w:rsidRPr="00142D83" w:rsidRDefault="00D332A5" w:rsidP="00A06F34">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NOMBRE</w:t>
            </w:r>
          </w:p>
        </w:tc>
      </w:tr>
      <w:tr w:rsidR="009235E0" w:rsidRPr="00AC6434" w:rsidTr="00A06F34">
        <w:trPr>
          <w:trHeight w:val="300"/>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2126"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984"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9235E0" w:rsidRPr="0022078B" w:rsidRDefault="009235E0" w:rsidP="009235E0">
            <w:pPr>
              <w:jc w:val="center"/>
              <w:rPr>
                <w:rFonts w:eastAsia="Times New Roman" w:cs="Arial"/>
                <w:bCs/>
                <w:sz w:val="22"/>
                <w:lang w:eastAsia="es-CO"/>
              </w:rPr>
            </w:pPr>
          </w:p>
        </w:tc>
      </w:tr>
      <w:tr w:rsidR="009235E0" w:rsidRPr="00F56D11" w:rsidTr="00A06F34">
        <w:trPr>
          <w:trHeight w:val="789"/>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35E0" w:rsidRPr="00F56D11" w:rsidRDefault="009235E0" w:rsidP="009235E0">
            <w:pPr>
              <w:jc w:val="center"/>
              <w:rPr>
                <w:rFonts w:eastAsia="Times New Roman" w:cs="Arial"/>
                <w:b/>
                <w:bCs/>
                <w:sz w:val="21"/>
                <w:szCs w:val="21"/>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9235E0" w:rsidRPr="00F56D11" w:rsidRDefault="009235E0" w:rsidP="009235E0">
            <w:pPr>
              <w:jc w:val="both"/>
              <w:rPr>
                <w:rFonts w:eastAsia="Times New Roman" w:cs="Arial"/>
                <w:sz w:val="21"/>
                <w:szCs w:val="21"/>
                <w:lang w:eastAsia="es-CO"/>
              </w:rPr>
            </w:pPr>
          </w:p>
        </w:tc>
      </w:tr>
    </w:tbl>
    <w:p w:rsidR="00D332A5" w:rsidRDefault="00D332A5" w:rsidP="00C70B17">
      <w:pPr>
        <w:jc w:val="both"/>
        <w:rPr>
          <w:rFonts w:cs="Arial"/>
          <w:b/>
          <w:sz w:val="22"/>
        </w:rPr>
      </w:pPr>
    </w:p>
    <w:tbl>
      <w:tblPr>
        <w:tblW w:w="9242" w:type="dxa"/>
        <w:jc w:val="center"/>
        <w:tblCellMar>
          <w:left w:w="70" w:type="dxa"/>
          <w:right w:w="70" w:type="dxa"/>
        </w:tblCellMar>
        <w:tblLook w:val="04A0" w:firstRow="1" w:lastRow="0" w:firstColumn="1" w:lastColumn="0" w:noHBand="0" w:noVBand="1"/>
      </w:tblPr>
      <w:tblGrid>
        <w:gridCol w:w="1446"/>
        <w:gridCol w:w="1843"/>
        <w:gridCol w:w="2126"/>
        <w:gridCol w:w="1984"/>
        <w:gridCol w:w="1843"/>
      </w:tblGrid>
      <w:tr w:rsidR="002121EA" w:rsidRPr="00142D83" w:rsidTr="00A868C5">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1EA" w:rsidRPr="00142D83" w:rsidRDefault="002121EA" w:rsidP="00A868C5">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2121EA" w:rsidRPr="00142D83" w:rsidRDefault="002121EA" w:rsidP="00A868C5">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2121EA" w:rsidRPr="00142D83" w:rsidRDefault="002121EA" w:rsidP="00A868C5">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2121EA" w:rsidRPr="00142D83" w:rsidRDefault="002121EA" w:rsidP="00A868C5">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2121EA" w:rsidRPr="00142D83" w:rsidRDefault="002121EA" w:rsidP="00A868C5">
            <w:pPr>
              <w:jc w:val="center"/>
              <w:rPr>
                <w:rFonts w:eastAsia="Times New Roman" w:cs="Arial"/>
                <w:b/>
                <w:bCs/>
                <w:color w:val="000000"/>
                <w:sz w:val="21"/>
                <w:szCs w:val="21"/>
                <w:lang w:eastAsia="es-CO"/>
              </w:rPr>
            </w:pPr>
            <w:r w:rsidRPr="00142D83">
              <w:rPr>
                <w:rFonts w:eastAsia="Times New Roman" w:cs="Arial"/>
                <w:b/>
                <w:bCs/>
                <w:color w:val="000000"/>
                <w:sz w:val="21"/>
                <w:szCs w:val="21"/>
                <w:lang w:eastAsia="es-CO"/>
              </w:rPr>
              <w:t>2DO NOMBRE</w:t>
            </w:r>
          </w:p>
        </w:tc>
      </w:tr>
      <w:tr w:rsidR="009235E0" w:rsidRPr="00AC6434" w:rsidTr="00A868C5">
        <w:trPr>
          <w:trHeight w:val="300"/>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2126"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984"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1"/>
                <w:szCs w:val="21"/>
                <w:lang w:eastAsia="es-CO"/>
              </w:rPr>
            </w:pPr>
          </w:p>
        </w:tc>
        <w:tc>
          <w:tcPr>
            <w:tcW w:w="1843" w:type="dxa"/>
            <w:tcBorders>
              <w:top w:val="nil"/>
              <w:left w:val="nil"/>
              <w:bottom w:val="single" w:sz="4" w:space="0" w:color="auto"/>
              <w:right w:val="single" w:sz="4" w:space="0" w:color="auto"/>
            </w:tcBorders>
            <w:shd w:val="clear" w:color="000000" w:fill="FFFFFF"/>
            <w:noWrap/>
            <w:vAlign w:val="center"/>
          </w:tcPr>
          <w:p w:rsidR="009235E0" w:rsidRDefault="009235E0" w:rsidP="009235E0">
            <w:pPr>
              <w:jc w:val="center"/>
              <w:rPr>
                <w:rFonts w:eastAsia="Times New Roman" w:cs="Arial"/>
                <w:bCs/>
                <w:sz w:val="22"/>
                <w:lang w:eastAsia="es-CO"/>
              </w:rPr>
            </w:pPr>
          </w:p>
        </w:tc>
      </w:tr>
      <w:tr w:rsidR="009235E0" w:rsidRPr="00F56D11" w:rsidTr="00A868C5">
        <w:trPr>
          <w:trHeight w:val="789"/>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35E0" w:rsidRPr="00F56D11" w:rsidRDefault="009235E0" w:rsidP="009235E0">
            <w:pPr>
              <w:jc w:val="center"/>
              <w:rPr>
                <w:rFonts w:eastAsia="Times New Roman" w:cs="Arial"/>
                <w:b/>
                <w:bCs/>
                <w:sz w:val="21"/>
                <w:szCs w:val="21"/>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9235E0" w:rsidRPr="00F56D11" w:rsidRDefault="009235E0" w:rsidP="009235E0">
            <w:pPr>
              <w:jc w:val="both"/>
              <w:rPr>
                <w:rFonts w:eastAsia="Times New Roman" w:cs="Arial"/>
                <w:sz w:val="21"/>
                <w:szCs w:val="21"/>
                <w:lang w:eastAsia="es-CO"/>
              </w:rPr>
            </w:pPr>
          </w:p>
        </w:tc>
      </w:tr>
    </w:tbl>
    <w:p w:rsidR="002121EA" w:rsidRDefault="002121EA" w:rsidP="00C70B17">
      <w:pPr>
        <w:jc w:val="both"/>
        <w:rPr>
          <w:rFonts w:cs="Arial"/>
          <w:b/>
          <w:sz w:val="22"/>
        </w:rPr>
      </w:pPr>
    </w:p>
    <w:p w:rsidR="00C70B17" w:rsidRDefault="00C70B17" w:rsidP="00C70B17">
      <w:pPr>
        <w:jc w:val="both"/>
        <w:rPr>
          <w:rFonts w:cs="Arial"/>
          <w:sz w:val="22"/>
        </w:rPr>
      </w:pPr>
      <w:r>
        <w:rPr>
          <w:rFonts w:cs="Arial"/>
          <w:b/>
          <w:sz w:val="22"/>
        </w:rPr>
        <w:t xml:space="preserve">PARÁGRAFO: </w:t>
      </w:r>
      <w:r w:rsidRPr="0007685D">
        <w:rPr>
          <w:rFonts w:cs="Arial"/>
          <w:sz w:val="22"/>
        </w:rPr>
        <w:t>La Activación de los servicios para los beneficiarios a</w:t>
      </w:r>
      <w:r>
        <w:rPr>
          <w:rFonts w:cs="Arial"/>
          <w:sz w:val="22"/>
        </w:rPr>
        <w:t xml:space="preserve">ntes descritos es condicionada, en consecuencia, </w:t>
      </w:r>
      <w:r>
        <w:rPr>
          <w:rFonts w:cs="Arial"/>
          <w:b/>
          <w:bCs/>
          <w:sz w:val="22"/>
        </w:rPr>
        <w:t>"se</w:t>
      </w:r>
      <w:r w:rsidRPr="00040D42">
        <w:rPr>
          <w:rFonts w:cs="Arial"/>
          <w:b/>
          <w:bCs/>
          <w:sz w:val="22"/>
        </w:rPr>
        <w:t xml:space="preserve"> ACTIVA </w:t>
      </w:r>
      <w:r>
        <w:rPr>
          <w:rFonts w:cs="Arial"/>
          <w:b/>
          <w:bCs/>
          <w:sz w:val="22"/>
        </w:rPr>
        <w:t>de manera condicionada</w:t>
      </w:r>
      <w:r w:rsidRPr="00040D42">
        <w:rPr>
          <w:rFonts w:cs="Arial"/>
          <w:b/>
          <w:bCs/>
          <w:sz w:val="22"/>
        </w:rPr>
        <w:t xml:space="preserve"> a que las personas realicen el cobro de subsidios en la siguiente nómina </w:t>
      </w:r>
      <w:r>
        <w:rPr>
          <w:rFonts w:cs="Arial"/>
          <w:b/>
          <w:bCs/>
          <w:sz w:val="22"/>
        </w:rPr>
        <w:t>p</w:t>
      </w:r>
      <w:r w:rsidRPr="00040D42">
        <w:rPr>
          <w:rFonts w:cs="Arial"/>
          <w:b/>
          <w:bCs/>
          <w:sz w:val="22"/>
        </w:rPr>
        <w:t>rogramada,</w:t>
      </w:r>
      <w:r>
        <w:rPr>
          <w:rFonts w:cs="Arial"/>
          <w:b/>
          <w:bCs/>
          <w:sz w:val="22"/>
        </w:rPr>
        <w:t xml:space="preserve"> en caso contrario procederá a</w:t>
      </w:r>
      <w:r w:rsidRPr="00040D42">
        <w:rPr>
          <w:rFonts w:cs="Arial"/>
          <w:b/>
          <w:bCs/>
          <w:sz w:val="22"/>
        </w:rPr>
        <w:t>l Retiro"</w:t>
      </w:r>
      <w:r>
        <w:rPr>
          <w:rFonts w:cs="Arial"/>
          <w:b/>
          <w:bCs/>
          <w:sz w:val="22"/>
        </w:rPr>
        <w:t xml:space="preserve">, </w:t>
      </w:r>
      <w:r w:rsidRPr="00040D42">
        <w:rPr>
          <w:rFonts w:cs="Arial"/>
          <w:sz w:val="22"/>
        </w:rPr>
        <w:t xml:space="preserve">es decir </w:t>
      </w:r>
      <w:r>
        <w:rPr>
          <w:rFonts w:cs="Arial"/>
          <w:sz w:val="22"/>
        </w:rPr>
        <w:t>serán excluidos del Programa Colombia Mayor.</w:t>
      </w:r>
    </w:p>
    <w:p w:rsidR="00C70B17" w:rsidRDefault="00C70B17" w:rsidP="00C70B17">
      <w:pPr>
        <w:jc w:val="both"/>
        <w:rPr>
          <w:rFonts w:cs="Arial"/>
          <w:b/>
          <w:sz w:val="14"/>
          <w:szCs w:val="10"/>
        </w:rPr>
      </w:pPr>
    </w:p>
    <w:p w:rsidR="00C70B17" w:rsidRDefault="00C70B17" w:rsidP="00C70B17">
      <w:pPr>
        <w:jc w:val="both"/>
        <w:rPr>
          <w:rFonts w:cs="Arial"/>
          <w:sz w:val="22"/>
        </w:rPr>
      </w:pPr>
      <w:r w:rsidRPr="0007685D">
        <w:rPr>
          <w:rFonts w:cs="Arial"/>
          <w:b/>
          <w:sz w:val="22"/>
        </w:rPr>
        <w:t>ARTÍCULO SEGUNDO:</w:t>
      </w:r>
      <w:r w:rsidRPr="0007685D">
        <w:rPr>
          <w:rFonts w:cs="Arial"/>
          <w:sz w:val="22"/>
        </w:rPr>
        <w:t xml:space="preserve"> De acuerdo con lo dispuesto en el artícu</w:t>
      </w:r>
      <w:r>
        <w:rPr>
          <w:rFonts w:cs="Arial"/>
          <w:sz w:val="22"/>
        </w:rPr>
        <w:t xml:space="preserve">lo primero del presente acto, </w:t>
      </w:r>
      <w:r w:rsidRPr="00935FB9">
        <w:rPr>
          <w:rFonts w:cs="Arial"/>
          <w:b/>
          <w:sz w:val="22"/>
        </w:rPr>
        <w:t>El Departamento Administrativo para la Prosperidad</w:t>
      </w:r>
      <w:r>
        <w:rPr>
          <w:rFonts w:cs="Arial"/>
          <w:sz w:val="22"/>
        </w:rPr>
        <w:t xml:space="preserve"> </w:t>
      </w:r>
      <w:r w:rsidRPr="00935FB9">
        <w:rPr>
          <w:rFonts w:cs="Arial"/>
          <w:b/>
          <w:sz w:val="22"/>
        </w:rPr>
        <w:t>Social</w:t>
      </w:r>
      <w:r w:rsidRPr="0007685D">
        <w:rPr>
          <w:rFonts w:cs="Arial"/>
          <w:sz w:val="22"/>
        </w:rPr>
        <w:t>, deberá proceder a la activación de los beneficiarios por la causal mencionada.</w:t>
      </w:r>
      <w:r>
        <w:rPr>
          <w:rFonts w:cs="Arial"/>
          <w:sz w:val="22"/>
        </w:rPr>
        <w:t xml:space="preserve">  </w:t>
      </w:r>
    </w:p>
    <w:p w:rsidR="00C70B17" w:rsidRDefault="00C70B17" w:rsidP="00C70B17">
      <w:pPr>
        <w:jc w:val="both"/>
        <w:rPr>
          <w:rFonts w:cs="Arial"/>
          <w:b/>
          <w:sz w:val="16"/>
        </w:rPr>
      </w:pPr>
    </w:p>
    <w:p w:rsidR="00C70B17" w:rsidRPr="00B13930" w:rsidRDefault="00C70B17" w:rsidP="00C70B17">
      <w:pPr>
        <w:jc w:val="both"/>
        <w:rPr>
          <w:rFonts w:cs="Arial"/>
          <w:sz w:val="22"/>
        </w:rPr>
      </w:pPr>
      <w:r w:rsidRPr="00B13930">
        <w:rPr>
          <w:rFonts w:cs="Arial"/>
          <w:b/>
          <w:sz w:val="22"/>
        </w:rPr>
        <w:t>ARTÍCULO TERCERO:</w:t>
      </w:r>
      <w:r w:rsidRPr="00B13930">
        <w:rPr>
          <w:rFonts w:cs="Arial"/>
          <w:sz w:val="22"/>
        </w:rPr>
        <w:t xml:space="preserve"> La custodia de los soportes documentales de la presente Resolución estará a cargo del Programa </w:t>
      </w:r>
      <w:r>
        <w:rPr>
          <w:rFonts w:cs="Arial"/>
          <w:sz w:val="22"/>
        </w:rPr>
        <w:t xml:space="preserve">Adulto </w:t>
      </w:r>
      <w:r w:rsidRPr="00B13930">
        <w:rPr>
          <w:rFonts w:cs="Arial"/>
          <w:sz w:val="22"/>
        </w:rPr>
        <w:t xml:space="preserve">Mayor </w:t>
      </w:r>
      <w:r>
        <w:rPr>
          <w:rFonts w:cs="Arial"/>
          <w:sz w:val="22"/>
        </w:rPr>
        <w:t xml:space="preserve">y Digno </w:t>
      </w:r>
      <w:r w:rsidRPr="00B13930">
        <w:rPr>
          <w:rFonts w:cs="Arial"/>
          <w:sz w:val="22"/>
        </w:rPr>
        <w:t xml:space="preserve">de la Secretaría de Desarrollo Social del Municipio de Bucaramanga. </w:t>
      </w:r>
    </w:p>
    <w:p w:rsidR="00C70B17" w:rsidRDefault="00C70B17" w:rsidP="00C70B17">
      <w:pPr>
        <w:jc w:val="both"/>
        <w:rPr>
          <w:rFonts w:cs="Arial"/>
          <w:b/>
          <w:sz w:val="12"/>
        </w:rPr>
      </w:pPr>
    </w:p>
    <w:p w:rsidR="00C70B17" w:rsidRPr="00B13930" w:rsidRDefault="00C70B17" w:rsidP="00C70B17">
      <w:pPr>
        <w:jc w:val="both"/>
        <w:rPr>
          <w:rFonts w:cs="Arial"/>
          <w:sz w:val="22"/>
        </w:rPr>
      </w:pPr>
      <w:r w:rsidRPr="00B13930">
        <w:rPr>
          <w:rFonts w:cs="Arial"/>
          <w:b/>
          <w:sz w:val="22"/>
        </w:rPr>
        <w:t xml:space="preserve">ARTÍCULO CUARTO: </w:t>
      </w:r>
      <w:r w:rsidRPr="00B13930">
        <w:rPr>
          <w:rFonts w:cs="Arial"/>
          <w:sz w:val="22"/>
        </w:rPr>
        <w:t>Contra la presente Resolución proceden los recursos de reposición y apelación, de conformidad con el art. 74 de la Ley 1437 de 2011 Código de Procedimiento Administrativo y de lo Contencioso Administrativo.</w:t>
      </w:r>
    </w:p>
    <w:p w:rsidR="00C70B17" w:rsidRPr="007B1EEC" w:rsidRDefault="00C70B17" w:rsidP="00C70B17">
      <w:pPr>
        <w:jc w:val="both"/>
        <w:rPr>
          <w:rFonts w:cs="Arial"/>
          <w:sz w:val="10"/>
          <w:szCs w:val="6"/>
        </w:rPr>
      </w:pPr>
    </w:p>
    <w:p w:rsidR="00C70B17" w:rsidRPr="00B13930" w:rsidRDefault="00C70B17" w:rsidP="00C70B17">
      <w:pPr>
        <w:jc w:val="both"/>
        <w:rPr>
          <w:rFonts w:cs="Arial"/>
          <w:sz w:val="22"/>
        </w:rPr>
      </w:pPr>
      <w:r w:rsidRPr="00B13930">
        <w:rPr>
          <w:rFonts w:cs="Arial"/>
          <w:b/>
          <w:sz w:val="22"/>
        </w:rPr>
        <w:t>ARTÍCULO QUINTO:</w:t>
      </w:r>
      <w:r w:rsidRPr="00B13930">
        <w:rPr>
          <w:rFonts w:cs="Arial"/>
          <w:sz w:val="22"/>
        </w:rPr>
        <w:t xml:space="preserve"> La presente Resolución rige a partir de su publicación. </w:t>
      </w:r>
    </w:p>
    <w:p w:rsidR="00C70B17" w:rsidRPr="007B1EEC" w:rsidRDefault="00C70B17" w:rsidP="00C70B17">
      <w:pPr>
        <w:jc w:val="both"/>
        <w:rPr>
          <w:rFonts w:cs="Arial"/>
          <w:sz w:val="18"/>
        </w:rPr>
      </w:pPr>
    </w:p>
    <w:p w:rsidR="00C70B17" w:rsidRPr="00B13930" w:rsidRDefault="00C70B17" w:rsidP="00C70B17">
      <w:pPr>
        <w:jc w:val="center"/>
        <w:rPr>
          <w:rFonts w:cs="Arial"/>
          <w:b/>
          <w:sz w:val="22"/>
        </w:rPr>
      </w:pPr>
      <w:r w:rsidRPr="00B13930">
        <w:rPr>
          <w:rFonts w:cs="Arial"/>
          <w:b/>
          <w:sz w:val="22"/>
        </w:rPr>
        <w:t xml:space="preserve"> PUBLIQUESE, NOTIFIQUESE Y CUMPLASE</w:t>
      </w:r>
    </w:p>
    <w:p w:rsidR="00C70B17" w:rsidRPr="00B13930" w:rsidRDefault="00C70B17" w:rsidP="00C70B17">
      <w:pPr>
        <w:widowControl w:val="0"/>
        <w:autoSpaceDE w:val="0"/>
        <w:autoSpaceDN w:val="0"/>
        <w:adjustRightInd w:val="0"/>
        <w:snapToGrid w:val="0"/>
        <w:rPr>
          <w:rFonts w:cs="Arial"/>
          <w:sz w:val="22"/>
        </w:rPr>
      </w:pPr>
      <w:r w:rsidRPr="00B13930">
        <w:rPr>
          <w:rFonts w:cs="Arial"/>
          <w:color w:val="000000"/>
          <w:sz w:val="22"/>
        </w:rPr>
        <w:t>Dad</w:t>
      </w:r>
      <w:r>
        <w:rPr>
          <w:rFonts w:cs="Arial"/>
          <w:color w:val="000000"/>
          <w:sz w:val="22"/>
        </w:rPr>
        <w:t>a</w:t>
      </w:r>
      <w:r w:rsidRPr="00B13930">
        <w:rPr>
          <w:rFonts w:cs="Arial"/>
          <w:color w:val="000000"/>
          <w:sz w:val="22"/>
        </w:rPr>
        <w:t xml:space="preserve"> en Bucaramanga a los,</w:t>
      </w:r>
    </w:p>
    <w:p w:rsidR="00C70B17" w:rsidRPr="00B13930" w:rsidRDefault="00C70B17" w:rsidP="00C70B17">
      <w:pPr>
        <w:rPr>
          <w:rFonts w:cs="Arial"/>
          <w:sz w:val="22"/>
        </w:rPr>
      </w:pPr>
    </w:p>
    <w:p w:rsidR="00C70B17" w:rsidRPr="00B13930" w:rsidRDefault="00C70B17" w:rsidP="00C70B17">
      <w:pPr>
        <w:rPr>
          <w:rFonts w:cs="Arial"/>
          <w:sz w:val="22"/>
        </w:rPr>
      </w:pPr>
    </w:p>
    <w:p w:rsidR="00C70B17" w:rsidRPr="00B13930" w:rsidRDefault="00C70B17" w:rsidP="00C70B17">
      <w:pPr>
        <w:widowControl w:val="0"/>
        <w:autoSpaceDE w:val="0"/>
        <w:autoSpaceDN w:val="0"/>
        <w:adjustRightInd w:val="0"/>
        <w:snapToGrid w:val="0"/>
        <w:jc w:val="center"/>
        <w:rPr>
          <w:rFonts w:cs="Arial"/>
          <w:b/>
          <w:sz w:val="22"/>
        </w:rPr>
      </w:pPr>
      <w:r>
        <w:rPr>
          <w:rFonts w:cs="Arial"/>
          <w:b/>
          <w:color w:val="000000"/>
          <w:sz w:val="22"/>
        </w:rPr>
        <w:t>IVAN DARIO TORRES ALFONSO</w:t>
      </w:r>
    </w:p>
    <w:p w:rsidR="00C70B17" w:rsidRDefault="00C70B17" w:rsidP="00C70B17">
      <w:pPr>
        <w:widowControl w:val="0"/>
        <w:autoSpaceDE w:val="0"/>
        <w:autoSpaceDN w:val="0"/>
        <w:adjustRightInd w:val="0"/>
        <w:snapToGrid w:val="0"/>
        <w:jc w:val="center"/>
        <w:rPr>
          <w:rFonts w:cs="Arial"/>
          <w:color w:val="000000"/>
          <w:sz w:val="22"/>
        </w:rPr>
      </w:pPr>
      <w:r w:rsidRPr="00B13930">
        <w:rPr>
          <w:rFonts w:cs="Arial"/>
          <w:color w:val="000000"/>
          <w:sz w:val="22"/>
        </w:rPr>
        <w:t>Secretar</w:t>
      </w:r>
      <w:r>
        <w:rPr>
          <w:rFonts w:cs="Arial"/>
          <w:color w:val="000000"/>
          <w:sz w:val="22"/>
        </w:rPr>
        <w:t>io</w:t>
      </w:r>
      <w:r w:rsidRPr="00B13930">
        <w:rPr>
          <w:rFonts w:cs="Arial"/>
          <w:color w:val="000000"/>
          <w:sz w:val="22"/>
        </w:rPr>
        <w:t xml:space="preserve"> de Desarrollo Social</w:t>
      </w:r>
    </w:p>
    <w:p w:rsidR="00C70B17" w:rsidRDefault="00C70B17" w:rsidP="00C70B17">
      <w:pPr>
        <w:widowControl w:val="0"/>
        <w:autoSpaceDE w:val="0"/>
        <w:autoSpaceDN w:val="0"/>
        <w:adjustRightInd w:val="0"/>
        <w:snapToGrid w:val="0"/>
        <w:jc w:val="both"/>
        <w:rPr>
          <w:rFonts w:cs="Arial"/>
          <w:color w:val="000000"/>
          <w:sz w:val="16"/>
          <w:szCs w:val="16"/>
        </w:rPr>
      </w:pPr>
    </w:p>
    <w:p w:rsidR="009235E0" w:rsidRDefault="009235E0" w:rsidP="00C70B17">
      <w:pPr>
        <w:widowControl w:val="0"/>
        <w:autoSpaceDE w:val="0"/>
        <w:autoSpaceDN w:val="0"/>
        <w:adjustRightInd w:val="0"/>
        <w:snapToGrid w:val="0"/>
        <w:jc w:val="both"/>
        <w:rPr>
          <w:rFonts w:cs="Arial"/>
          <w:color w:val="000000"/>
          <w:sz w:val="16"/>
          <w:szCs w:val="16"/>
        </w:rPr>
      </w:pPr>
    </w:p>
    <w:p w:rsidR="00C70B17" w:rsidRDefault="00C70B17" w:rsidP="00C70B17">
      <w:pPr>
        <w:widowControl w:val="0"/>
        <w:autoSpaceDE w:val="0"/>
        <w:autoSpaceDN w:val="0"/>
        <w:adjustRightInd w:val="0"/>
        <w:snapToGrid w:val="0"/>
        <w:jc w:val="both"/>
        <w:rPr>
          <w:rFonts w:cs="Arial"/>
          <w:color w:val="000000"/>
          <w:sz w:val="16"/>
          <w:szCs w:val="16"/>
        </w:rPr>
      </w:pPr>
      <w:r>
        <w:rPr>
          <w:rFonts w:cs="Arial"/>
          <w:color w:val="000000"/>
          <w:sz w:val="16"/>
          <w:szCs w:val="16"/>
        </w:rPr>
        <w:t xml:space="preserve">Proyectó/ Ignacio Corzo Molina Apoyo Técnico CPS-SDDS </w:t>
      </w:r>
    </w:p>
    <w:p w:rsidR="00C70B17" w:rsidRPr="00B13930" w:rsidRDefault="00C70B17" w:rsidP="00C70B17">
      <w:pPr>
        <w:widowControl w:val="0"/>
        <w:autoSpaceDE w:val="0"/>
        <w:autoSpaceDN w:val="0"/>
        <w:adjustRightInd w:val="0"/>
        <w:snapToGrid w:val="0"/>
        <w:jc w:val="both"/>
        <w:rPr>
          <w:rFonts w:cs="Arial"/>
          <w:sz w:val="22"/>
        </w:rPr>
      </w:pPr>
      <w:r>
        <w:rPr>
          <w:rFonts w:cs="Arial"/>
          <w:color w:val="000000"/>
          <w:sz w:val="16"/>
          <w:szCs w:val="16"/>
        </w:rPr>
        <w:t>Revisó/ Leonor Pérez Rojas Abogada CPS-SDDS</w:t>
      </w:r>
    </w:p>
    <w:p w:rsidR="00C54AF4" w:rsidRPr="00C54AF4" w:rsidRDefault="00C54AF4" w:rsidP="00C54AF4">
      <w:pPr>
        <w:jc w:val="both"/>
        <w:rPr>
          <w:rFonts w:ascii="Arial" w:hAnsi="Arial" w:cs="Arial"/>
          <w:b/>
          <w:sz w:val="22"/>
          <w:szCs w:val="22"/>
        </w:rPr>
      </w:pPr>
    </w:p>
    <w:sectPr w:rsidR="00C54AF4" w:rsidRPr="00C54AF4" w:rsidSect="00E37D5A">
      <w:headerReference w:type="even" r:id="rId7"/>
      <w:headerReference w:type="default" r:id="rId8"/>
      <w:footerReference w:type="even" r:id="rId9"/>
      <w:footerReference w:type="default" r:id="rId10"/>
      <w:headerReference w:type="first" r:id="rId11"/>
      <w:footerReference w:type="first" r:id="rId12"/>
      <w:pgSz w:w="12242" w:h="18722" w:code="258"/>
      <w:pgMar w:top="2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1C" w:rsidRDefault="00E7311C" w:rsidP="002B7D4C">
      <w:r>
        <w:separator/>
      </w:r>
    </w:p>
  </w:endnote>
  <w:endnote w:type="continuationSeparator" w:id="0">
    <w:p w:rsidR="00E7311C" w:rsidRDefault="00E7311C" w:rsidP="002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7" w:rsidRDefault="00C70B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7" w:rsidRDefault="00C70B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7" w:rsidRDefault="00C70B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1C" w:rsidRDefault="00E7311C" w:rsidP="002B7D4C">
      <w:r>
        <w:separator/>
      </w:r>
    </w:p>
  </w:footnote>
  <w:footnote w:type="continuationSeparator" w:id="0">
    <w:p w:rsidR="00E7311C" w:rsidRDefault="00E7311C" w:rsidP="002B7D4C">
      <w:r>
        <w:continuationSeparator/>
      </w:r>
    </w:p>
  </w:footnote>
  <w:footnote w:id="1">
    <w:p w:rsidR="00C70B17" w:rsidRPr="006D3431" w:rsidRDefault="00C70B17" w:rsidP="00C70B17">
      <w:pPr>
        <w:pStyle w:val="Textonotapie"/>
        <w:rPr>
          <w:rFonts w:cs="Arial"/>
          <w:sz w:val="16"/>
          <w:szCs w:val="16"/>
        </w:rPr>
      </w:pPr>
      <w:r w:rsidRPr="006D3431">
        <w:rPr>
          <w:rStyle w:val="Refdenotaalpie"/>
          <w:rFonts w:cs="Arial"/>
          <w:sz w:val="16"/>
          <w:szCs w:val="16"/>
        </w:rPr>
        <w:footnoteRef/>
      </w:r>
      <w:r w:rsidRPr="006D3431">
        <w:rPr>
          <w:rFonts w:cs="Arial"/>
          <w:sz w:val="16"/>
          <w:szCs w:val="16"/>
        </w:rPr>
        <w:t xml:space="preserve"> Acuerdo Municipal No. 050 de 1994 por el cual se institucionaliza un programa de atención integral a la tercera edad.  Artículo Primero: “Brindar atención integral en salud tanto curativa como preventiva, ofrecer oportunidades de aprovechamiento del tiempo libre, mejorar los espacios de socialización y participación social, apoyar proyectos de capacitación tanto productiva como en salud y recreativa para ancianos y ancianas.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7" w:rsidRDefault="00C70B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8" w:rsidRDefault="003B0EC3">
    <w:pPr>
      <w:pStyle w:val="Encabezado"/>
    </w:pPr>
    <w:r>
      <w:rPr>
        <w:noProof/>
        <w:lang w:val="es-CO" w:eastAsia="es-CO"/>
      </w:rPr>
      <w:drawing>
        <wp:anchor distT="0" distB="0" distL="114300" distR="114300" simplePos="0" relativeHeight="251659264" behindDoc="1" locked="0" layoutInCell="1" allowOverlap="1" wp14:anchorId="7ABF9A1C" wp14:editId="2388195D">
          <wp:simplePos x="0" y="0"/>
          <wp:positionH relativeFrom="page">
            <wp:posOffset>-12700</wp:posOffset>
          </wp:positionH>
          <wp:positionV relativeFrom="paragraph">
            <wp:posOffset>-567055</wp:posOffset>
          </wp:positionV>
          <wp:extent cx="7770495" cy="12023105"/>
          <wp:effectExtent l="0" t="0" r="1905"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0495" cy="12023105"/>
                  </a:xfrm>
                  <a:prstGeom prst="rect">
                    <a:avLst/>
                  </a:prstGeom>
                </pic:spPr>
              </pic:pic>
            </a:graphicData>
          </a:graphic>
          <wp14:sizeRelH relativeFrom="page">
            <wp14:pctWidth>0</wp14:pctWidth>
          </wp14:sizeRelH>
          <wp14:sizeRelV relativeFrom="page">
            <wp14:pctHeight>0</wp14:pctHeight>
          </wp14:sizeRelV>
        </wp:anchor>
      </w:drawing>
    </w:r>
  </w:p>
  <w:p w:rsidR="00221E18" w:rsidRDefault="00221E18">
    <w:pPr>
      <w:pStyle w:val="Encabezado"/>
    </w:pPr>
  </w:p>
  <w:p w:rsidR="00221E18" w:rsidRDefault="00221E18">
    <w:pPr>
      <w:pStyle w:val="Encabezado"/>
    </w:pPr>
  </w:p>
  <w:p w:rsidR="00221E18" w:rsidRDefault="00221E18">
    <w:pPr>
      <w:pStyle w:val="Encabezado"/>
    </w:pPr>
  </w:p>
  <w:p w:rsidR="002B7D4C" w:rsidRDefault="002B7D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7" w:rsidRDefault="00C70B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DAD"/>
    <w:multiLevelType w:val="hybridMultilevel"/>
    <w:tmpl w:val="1E2CC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4C"/>
    <w:rsid w:val="00005613"/>
    <w:rsid w:val="00006C78"/>
    <w:rsid w:val="00067023"/>
    <w:rsid w:val="000A0A2F"/>
    <w:rsid w:val="000B6E04"/>
    <w:rsid w:val="000D6E9A"/>
    <w:rsid w:val="00170EC3"/>
    <w:rsid w:val="00192F3B"/>
    <w:rsid w:val="001C11F6"/>
    <w:rsid w:val="00210E8B"/>
    <w:rsid w:val="002121EA"/>
    <w:rsid w:val="00221E18"/>
    <w:rsid w:val="002271EA"/>
    <w:rsid w:val="0023788A"/>
    <w:rsid w:val="00285BA8"/>
    <w:rsid w:val="002B7D4C"/>
    <w:rsid w:val="00312C46"/>
    <w:rsid w:val="00377D7E"/>
    <w:rsid w:val="00390B1B"/>
    <w:rsid w:val="003B0EC3"/>
    <w:rsid w:val="003D5601"/>
    <w:rsid w:val="00443096"/>
    <w:rsid w:val="004471A3"/>
    <w:rsid w:val="004A3800"/>
    <w:rsid w:val="004A4227"/>
    <w:rsid w:val="004B376E"/>
    <w:rsid w:val="004E6B95"/>
    <w:rsid w:val="004F649F"/>
    <w:rsid w:val="0051014B"/>
    <w:rsid w:val="00540112"/>
    <w:rsid w:val="005A6919"/>
    <w:rsid w:val="005A7CFF"/>
    <w:rsid w:val="005C4700"/>
    <w:rsid w:val="005E5884"/>
    <w:rsid w:val="00685BC5"/>
    <w:rsid w:val="006B7E80"/>
    <w:rsid w:val="006E56A1"/>
    <w:rsid w:val="0071284B"/>
    <w:rsid w:val="0075544C"/>
    <w:rsid w:val="00770B2D"/>
    <w:rsid w:val="00771326"/>
    <w:rsid w:val="007960D2"/>
    <w:rsid w:val="007B2E81"/>
    <w:rsid w:val="00843CB8"/>
    <w:rsid w:val="00887D76"/>
    <w:rsid w:val="00891622"/>
    <w:rsid w:val="008D1435"/>
    <w:rsid w:val="008F1621"/>
    <w:rsid w:val="008F206B"/>
    <w:rsid w:val="009235E0"/>
    <w:rsid w:val="00937911"/>
    <w:rsid w:val="009418A8"/>
    <w:rsid w:val="0094699F"/>
    <w:rsid w:val="00986360"/>
    <w:rsid w:val="0098709C"/>
    <w:rsid w:val="009B21A7"/>
    <w:rsid w:val="00A25FCA"/>
    <w:rsid w:val="00A5047D"/>
    <w:rsid w:val="00AB40B2"/>
    <w:rsid w:val="00B211D0"/>
    <w:rsid w:val="00B45B2C"/>
    <w:rsid w:val="00B55FFE"/>
    <w:rsid w:val="00B71F97"/>
    <w:rsid w:val="00B73B77"/>
    <w:rsid w:val="00B7722E"/>
    <w:rsid w:val="00B825FB"/>
    <w:rsid w:val="00B955CF"/>
    <w:rsid w:val="00BF7492"/>
    <w:rsid w:val="00C50207"/>
    <w:rsid w:val="00C54AF4"/>
    <w:rsid w:val="00C70B17"/>
    <w:rsid w:val="00C7590C"/>
    <w:rsid w:val="00C85ACD"/>
    <w:rsid w:val="00CE64C7"/>
    <w:rsid w:val="00CE6D41"/>
    <w:rsid w:val="00D11C34"/>
    <w:rsid w:val="00D32610"/>
    <w:rsid w:val="00D332A5"/>
    <w:rsid w:val="00D65B06"/>
    <w:rsid w:val="00D972D9"/>
    <w:rsid w:val="00DD10C0"/>
    <w:rsid w:val="00DD40F2"/>
    <w:rsid w:val="00E055A8"/>
    <w:rsid w:val="00E37D5A"/>
    <w:rsid w:val="00E7311C"/>
    <w:rsid w:val="00EA530D"/>
    <w:rsid w:val="00EB3DDC"/>
    <w:rsid w:val="00F00347"/>
    <w:rsid w:val="00F3504D"/>
    <w:rsid w:val="00FC6E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E78811-7FE6-3245-817A-BAA61D2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D4C"/>
    <w:pPr>
      <w:tabs>
        <w:tab w:val="center" w:pos="4252"/>
        <w:tab w:val="right" w:pos="8504"/>
      </w:tabs>
    </w:pPr>
  </w:style>
  <w:style w:type="character" w:customStyle="1" w:styleId="EncabezadoCar">
    <w:name w:val="Encabezado Car"/>
    <w:basedOn w:val="Fuentedeprrafopredeter"/>
    <w:link w:val="Encabezado"/>
    <w:uiPriority w:val="99"/>
    <w:rsid w:val="002B7D4C"/>
    <w:rPr>
      <w:lang w:val="es-ES_tradnl"/>
    </w:rPr>
  </w:style>
  <w:style w:type="paragraph" w:styleId="Piedepgina">
    <w:name w:val="footer"/>
    <w:basedOn w:val="Normal"/>
    <w:link w:val="PiedepginaCar"/>
    <w:uiPriority w:val="99"/>
    <w:unhideWhenUsed/>
    <w:rsid w:val="002B7D4C"/>
    <w:pPr>
      <w:tabs>
        <w:tab w:val="center" w:pos="4252"/>
        <w:tab w:val="right" w:pos="8504"/>
      </w:tabs>
    </w:pPr>
  </w:style>
  <w:style w:type="character" w:customStyle="1" w:styleId="PiedepginaCar">
    <w:name w:val="Pie de página Car"/>
    <w:basedOn w:val="Fuentedeprrafopredeter"/>
    <w:link w:val="Piedepgina"/>
    <w:uiPriority w:val="99"/>
    <w:rsid w:val="002B7D4C"/>
    <w:rPr>
      <w:lang w:val="es-ES_tradnl"/>
    </w:rPr>
  </w:style>
  <w:style w:type="paragraph" w:styleId="Sinespaciado">
    <w:name w:val="No Spacing"/>
    <w:link w:val="SinespaciadoCar"/>
    <w:uiPriority w:val="1"/>
    <w:qFormat/>
    <w:rsid w:val="00192F3B"/>
    <w:rPr>
      <w:sz w:val="22"/>
      <w:szCs w:val="22"/>
      <w:lang w:val="es-ES"/>
    </w:rPr>
  </w:style>
  <w:style w:type="paragraph" w:styleId="Prrafodelista">
    <w:name w:val="List Paragraph"/>
    <w:basedOn w:val="Normal"/>
    <w:uiPriority w:val="34"/>
    <w:qFormat/>
    <w:rsid w:val="00192F3B"/>
    <w:pPr>
      <w:ind w:left="720"/>
      <w:contextualSpacing/>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192F3B"/>
    <w:rPr>
      <w:sz w:val="22"/>
      <w:szCs w:val="22"/>
      <w:lang w:val="es-ES"/>
    </w:rPr>
  </w:style>
  <w:style w:type="table" w:styleId="Tablaconcuadrcula">
    <w:name w:val="Table Grid"/>
    <w:basedOn w:val="Tablanormal"/>
    <w:uiPriority w:val="39"/>
    <w:rsid w:val="0022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0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47D"/>
    <w:rPr>
      <w:rFonts w:ascii="Segoe UI" w:hAnsi="Segoe UI" w:cs="Segoe UI"/>
      <w:sz w:val="18"/>
      <w:szCs w:val="18"/>
      <w:lang w:val="es-ES_tradnl"/>
    </w:rPr>
  </w:style>
  <w:style w:type="character" w:styleId="Hipervnculo">
    <w:name w:val="Hyperlink"/>
    <w:uiPriority w:val="99"/>
    <w:rsid w:val="00B825FB"/>
    <w:rPr>
      <w:rFonts w:cs="Times New Roman"/>
      <w:color w:val="0000FF"/>
      <w:u w:val="single"/>
    </w:rPr>
  </w:style>
  <w:style w:type="paragraph" w:styleId="Textonotapie">
    <w:name w:val="footnote text"/>
    <w:basedOn w:val="Normal"/>
    <w:link w:val="TextonotapieCar"/>
    <w:uiPriority w:val="99"/>
    <w:semiHidden/>
    <w:unhideWhenUsed/>
    <w:rsid w:val="008F1621"/>
    <w:pPr>
      <w:jc w:val="both"/>
    </w:pPr>
    <w:rPr>
      <w:rFonts w:ascii="Arial" w:eastAsia="Times New Roman" w:hAnsi="Arial" w:cs="Times New Roman"/>
      <w:sz w:val="20"/>
      <w:szCs w:val="20"/>
      <w:lang w:val="es-CO"/>
    </w:rPr>
  </w:style>
  <w:style w:type="character" w:customStyle="1" w:styleId="TextonotapieCar">
    <w:name w:val="Texto nota pie Car"/>
    <w:basedOn w:val="Fuentedeprrafopredeter"/>
    <w:link w:val="Textonotapie"/>
    <w:uiPriority w:val="99"/>
    <w:semiHidden/>
    <w:rsid w:val="008F1621"/>
    <w:rPr>
      <w:rFonts w:ascii="Arial" w:eastAsia="Times New Roman" w:hAnsi="Arial" w:cs="Times New Roman"/>
      <w:sz w:val="20"/>
      <w:szCs w:val="20"/>
    </w:rPr>
  </w:style>
  <w:style w:type="character" w:styleId="Refdenotaalpie">
    <w:name w:val="footnote reference"/>
    <w:uiPriority w:val="99"/>
    <w:semiHidden/>
    <w:unhideWhenUsed/>
    <w:rsid w:val="008F1621"/>
    <w:rPr>
      <w:vertAlign w:val="superscript"/>
    </w:rPr>
  </w:style>
  <w:style w:type="paragraph" w:styleId="NormalWeb">
    <w:name w:val="Normal (Web)"/>
    <w:basedOn w:val="Normal"/>
    <w:uiPriority w:val="99"/>
    <w:unhideWhenUsed/>
    <w:rsid w:val="008F1621"/>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Rojas</dc:creator>
  <cp:keywords/>
  <dc:description/>
  <cp:lastModifiedBy>Ana Yazmin Pardo Solano</cp:lastModifiedBy>
  <cp:revision>2</cp:revision>
  <cp:lastPrinted>2024-02-13T20:53:00Z</cp:lastPrinted>
  <dcterms:created xsi:type="dcterms:W3CDTF">2024-10-21T18:34:00Z</dcterms:created>
  <dcterms:modified xsi:type="dcterms:W3CDTF">2024-10-21T18:34:00Z</dcterms:modified>
</cp:coreProperties>
</file>